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DD0" w:rsidRPr="006A516B" w:rsidRDefault="00D80DD0" w:rsidP="006A51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cs-CZ"/>
        </w:rPr>
      </w:pPr>
      <w:r w:rsidRPr="006A516B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cs-CZ"/>
        </w:rPr>
        <w:t>Únik nebezpečných látek do ovzduší</w:t>
      </w:r>
    </w:p>
    <w:p w:rsidR="00D80DD0" w:rsidRDefault="00D80DD0" w:rsidP="00FF6A36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D80DD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Obyv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</w:t>
      </w:r>
      <w:r w:rsidRPr="00D80DD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telstvo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na území městské části Prahy 9 může být ohroženo únikem nebezpečných látek ze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zdrojů :</w:t>
      </w:r>
      <w:proofErr w:type="gramEnd"/>
    </w:p>
    <w:p w:rsidR="00D03D56" w:rsidRDefault="00D80DD0" w:rsidP="00D80DD0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Stacionárních – zásobníky úpraven vody (chlór), zásobníky zimních stadiónů (amoniak)</w:t>
      </w:r>
    </w:p>
    <w:p w:rsidR="00D80DD0" w:rsidRDefault="00D03D56" w:rsidP="00D03D56">
      <w:pPr>
        <w:pStyle w:val="Odstavecseseznamem"/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Přehled území s možností zasažení je uvedeno v příloze.</w:t>
      </w:r>
    </w:p>
    <w:p w:rsidR="00D03D56" w:rsidRDefault="00D03D56" w:rsidP="00D03D56">
      <w:pPr>
        <w:pStyle w:val="Odstavecseseznamem"/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</w:p>
    <w:p w:rsidR="00D80DD0" w:rsidRPr="00D80DD0" w:rsidRDefault="00D80DD0" w:rsidP="00D80DD0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Mobilních – automobilní nebo železniční přeprava nebezpečných látek</w:t>
      </w:r>
      <w:r w:rsidR="0022218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(</w:t>
      </w:r>
      <w:r w:rsidR="00D03D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označené výstražnou tabulkou s označením toxické látky </w:t>
      </w:r>
      <w:r w:rsidR="00D03D56" w:rsidRPr="00D03D56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cs-CZ"/>
        </w:rPr>
        <w:drawing>
          <wp:inline distT="0" distB="0" distL="0" distR="0">
            <wp:extent cx="275359" cy="275359"/>
            <wp:effectExtent l="19050" t="0" r="0" b="0"/>
            <wp:docPr id="1" name="obrázek 1" descr="Tabulka pro ozna&amp;ccaron;ení druhu p&amp;rcaron;epr.látky+&amp;ccaron;í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ulka pro ozna&amp;ccaron;ení druhu p&amp;rcaron;epr.látky+&amp;ccaron;ís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5" cy="2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D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a bezpečnostní značkou </w:t>
      </w:r>
      <w:r w:rsidR="00D03D56" w:rsidRPr="00D03D56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cs-CZ"/>
        </w:rPr>
        <w:drawing>
          <wp:inline distT="0" distB="0" distL="0" distR="0">
            <wp:extent cx="306532" cy="306532"/>
            <wp:effectExtent l="19050" t="0" r="0" b="0"/>
            <wp:docPr id="4" name="obrázek 4" descr="Zna&amp;ccaron;ka GHS06 Toxické lá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&amp;ccaron;ka GHS06 Toxické látk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4" cy="30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D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toxická látka).</w:t>
      </w:r>
    </w:p>
    <w:p w:rsidR="00FF6A36" w:rsidRPr="006A516B" w:rsidRDefault="00FF6A36" w:rsidP="00FF6A36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cs-CZ"/>
        </w:rPr>
      </w:pPr>
      <w:r w:rsidRPr="006A516B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cs-CZ"/>
        </w:rPr>
        <w:t>Zásady chování při úniku nebezpečných látek</w:t>
      </w:r>
    </w:p>
    <w:p w:rsidR="00FF6A36" w:rsidRPr="00D03D56" w:rsidRDefault="00FF6A36" w:rsidP="00FF6A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3D5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Základním předpokladem pro úspěšné zvládnutí situace spojené s únikem nebezpečných látek s co nejmenšími následky je dobrá informovanost obyvatelstva o možném riziku a zásadách ochrany a též </w:t>
      </w:r>
      <w:hyperlink r:id="rId7" w:tooltip="Link to Article" w:history="1">
        <w:r w:rsidRPr="00D03D5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o způsobech varování</w:t>
        </w:r>
      </w:hyperlink>
      <w:r w:rsidRPr="00D03D5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FF6A36" w:rsidRPr="00FF6A36" w:rsidRDefault="00FF6A36" w:rsidP="00FF6A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>Těmi jsou především:</w:t>
      </w:r>
    </w:p>
    <w:p w:rsidR="00FF6A36" w:rsidRPr="00FF6A36" w:rsidRDefault="00FF6A36" w:rsidP="00FF6A3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koncové prvky jednotného systému varování obyvatelstva </w:t>
      </w:r>
      <w:r w:rsidRPr="00D03D56">
        <w:rPr>
          <w:rFonts w:ascii="Times New Roman" w:eastAsia="Times New Roman" w:hAnsi="Times New Roman" w:cs="Times New Roman"/>
          <w:sz w:val="24"/>
          <w:szCs w:val="24"/>
          <w:lang w:eastAsia="cs-CZ"/>
        </w:rPr>
        <w:t>(</w:t>
      </w:r>
      <w:hyperlink r:id="rId8" w:tgtFrame="_blank" w:tooltip="Link to File - 0 B - new window" w:history="1">
        <w:r w:rsidRPr="00D03D5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elektrické</w:t>
        </w:r>
      </w:hyperlink>
      <w:r w:rsidRPr="00D03D5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hyperlink r:id="rId9" w:tgtFrame="_blank" w:tooltip="Link to File - 0 B - new window" w:history="1">
        <w:r w:rsidRPr="00D03D5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elektronické</w:t>
        </w:r>
      </w:hyperlink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sirény) </w:t>
      </w:r>
    </w:p>
    <w:p w:rsidR="00FF6A36" w:rsidRPr="00FF6A36" w:rsidRDefault="00FF6A36" w:rsidP="00FF6A3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megafony zabudované ve vozidlech Policie ČR, Městské policie hl. m. Prahy a dalších složek Záchranného bezpečnostního systému hl. m. Prahy </w:t>
      </w:r>
    </w:p>
    <w:p w:rsidR="00FF6A36" w:rsidRPr="00FF6A36" w:rsidRDefault="00FF6A36" w:rsidP="00FF6A3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>hromadné sdělovací prostředky</w:t>
      </w:r>
    </w:p>
    <w:p w:rsidR="00FF6A36" w:rsidRPr="00D03D56" w:rsidRDefault="00FF6A36" w:rsidP="00FF6A36">
      <w:p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r w:rsidRPr="00D03D56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Při úniku škodlivé látky je zejména nutné dodržovat tyto zásady:</w:t>
      </w:r>
    </w:p>
    <w:p w:rsidR="00FF6A36" w:rsidRPr="00FF6A36" w:rsidRDefault="00FF6A36" w:rsidP="00FF6A3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kolmo na směr větru opusťte ohrožený prostor; není - li to možné, vstupte do nejbližší budovy (ne sklepů!), pokud možno do vyšších pater </w:t>
      </w:r>
    </w:p>
    <w:p w:rsidR="00FF6A36" w:rsidRPr="00FF6A36" w:rsidRDefault="00FF6A36" w:rsidP="00FF6A3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oznamte situaci </w:t>
      </w:r>
      <w:r w:rsidRPr="00FF6A3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na linku 150</w:t>
      </w: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F6A36" w:rsidRPr="00FF6A36" w:rsidRDefault="00FF6A36" w:rsidP="00FF6A3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všemi dostupnými prostředky utěsněte okna, dveře, atd. (použijte izolepu, mokré </w:t>
      </w:r>
      <w:proofErr w:type="gramStart"/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>textilie...);</w:t>
      </w:r>
      <w:proofErr w:type="gramEnd"/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neopouštějte budovu do obdržení informace, že je to možné </w:t>
      </w:r>
    </w:p>
    <w:p w:rsidR="00FF6A36" w:rsidRPr="00FF6A36" w:rsidRDefault="00FF6A36" w:rsidP="00FF6A3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vypnout klimatizaci, digestoře a jiné prostředky nuceného oběhu vzduchu </w:t>
      </w:r>
    </w:p>
    <w:p w:rsidR="00FF6A36" w:rsidRPr="00FF6A36" w:rsidRDefault="00FF6A36" w:rsidP="00FF6A3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 průniku škodliviny do Vašeho úkrytu zvolna dýchejte přes roušku namočenou ve vodě a přitisknutou k nosu a ústům </w:t>
      </w:r>
    </w:p>
    <w:p w:rsidR="00FF6A36" w:rsidRPr="00FF6A36" w:rsidRDefault="00FF6A36" w:rsidP="00FF6A3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chraňte si oči těsnými brýlemi (např. lyžařskými, plaveckými apod.) </w:t>
      </w:r>
    </w:p>
    <w:p w:rsidR="00FF6A36" w:rsidRPr="006A516B" w:rsidRDefault="00FF6A36" w:rsidP="00FF6A3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F6A3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 svědění na některých částech těla tyto omyjte větším množstvím vody a otřete do sucha, oděv podle možnosti vyměňte, sledujte </w:t>
      </w:r>
      <w:hyperlink r:id="rId10" w:tooltip="Link to Article" w:history="1">
        <w:r w:rsidRPr="00D03D5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vysílání televizních a rozhlasových stanic</w:t>
        </w:r>
      </w:hyperlink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Podrobné pokyny jsou uvedeny v příručce hasičského záchranného sboru </w:t>
      </w:r>
      <w:r w:rsidRPr="006A516B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Chování obyvatelstva v případě havárie s únikem nebezpečných látek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uveřejněné na webových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stránkách : </w:t>
      </w:r>
      <w:hyperlink r:id="rId11" w:history="1">
        <w:r w:rsidRPr="004D3609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</w:t>
        </w:r>
        <w:proofErr w:type="gramEnd"/>
        <w:r w:rsidRPr="004D3609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://www.hzscr.cz/clanek/prirucky.aspx</w:t>
        </w:r>
      </w:hyperlink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6A516B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lastRenderedPageBreak/>
        <w:t>Přílohy</w:t>
      </w:r>
    </w:p>
    <w:p w:rsidR="00254E46" w:rsidRPr="00254E46" w:rsidRDefault="00254E46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54E46">
        <w:rPr>
          <w:rFonts w:ascii="Times New Roman" w:eastAsia="Times New Roman" w:hAnsi="Times New Roman" w:cs="Times New Roman"/>
          <w:sz w:val="24"/>
          <w:szCs w:val="24"/>
          <w:lang w:eastAsia="cs-CZ"/>
        </w:rPr>
        <w:t>V níže uvedených ma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pách jsou znázorněny rozsahy zamoření nebezpečnými látkami v případě úniku celého </w:t>
      </w:r>
      <w:r w:rsidR="00AC62F7">
        <w:rPr>
          <w:rFonts w:ascii="Times New Roman" w:eastAsia="Times New Roman" w:hAnsi="Times New Roman" w:cs="Times New Roman"/>
          <w:sz w:val="24"/>
          <w:szCs w:val="24"/>
          <w:lang w:eastAsia="cs-CZ"/>
        </w:rPr>
        <w:t>objemu zásobníku najednou (rozsáhlé porušení zásobníku).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6A516B" w:rsidRDefault="006A516B" w:rsidP="006A516B">
      <w:r>
        <w:rPr>
          <w:rFonts w:ascii="Arial" w:hAnsi="Arial" w:cs="Arial"/>
        </w:rPr>
        <w:t xml:space="preserve">1.    </w:t>
      </w:r>
      <w:r w:rsidRPr="00F61825">
        <w:rPr>
          <w:rFonts w:ascii="Arial" w:hAnsi="Arial" w:cs="Arial"/>
        </w:rPr>
        <w:t>Rozsah zasažení při úniku amoniaku ze zásobníku v areálu Zimní stadion ICE CZECH</w:t>
      </w:r>
      <w:r>
        <w:rPr>
          <w:rFonts w:ascii="Arial" w:hAnsi="Arial" w:cs="Arial"/>
        </w:rPr>
        <w:t>,</w:t>
      </w:r>
    </w:p>
    <w:p w:rsidR="006A516B" w:rsidRDefault="006A516B" w:rsidP="006A516B"/>
    <w:p w:rsidR="006A516B" w:rsidRDefault="006A516B" w:rsidP="006A516B">
      <w:r>
        <w:rPr>
          <w:noProof/>
          <w:lang w:eastAsia="cs-CZ"/>
        </w:rPr>
        <w:drawing>
          <wp:inline distT="0" distB="0" distL="0" distR="0">
            <wp:extent cx="5860415" cy="3719830"/>
            <wp:effectExtent l="19050" t="0" r="6985" b="0"/>
            <wp:docPr id="2" name="obrázek 1" descr="AmoniakICELetň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oniakICELetňDetai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6B" w:rsidRDefault="006A516B" w:rsidP="006A516B">
      <w:pPr>
        <w:pStyle w:val="KPnorm"/>
      </w:pPr>
    </w:p>
    <w:tbl>
      <w:tblPr>
        <w:tblStyle w:val="Mkatabulky"/>
        <w:tblW w:w="0" w:type="auto"/>
        <w:tblLook w:val="01E0"/>
      </w:tblPr>
      <w:tblGrid>
        <w:gridCol w:w="4605"/>
        <w:gridCol w:w="4605"/>
      </w:tblGrid>
      <w:tr w:rsidR="006A516B" w:rsidTr="006A516B">
        <w:tc>
          <w:tcPr>
            <w:tcW w:w="4605" w:type="dxa"/>
          </w:tcPr>
          <w:p w:rsidR="006A516B" w:rsidRDefault="006A516B" w:rsidP="006A51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Rozsah zasažení</w:t>
            </w:r>
          </w:p>
        </w:tc>
        <w:tc>
          <w:tcPr>
            <w:tcW w:w="4605" w:type="dxa"/>
          </w:tcPr>
          <w:p w:rsidR="006A516B" w:rsidRDefault="006A516B" w:rsidP="006A51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Počet obyvatel v zasažené oblasti</w:t>
            </w:r>
          </w:p>
        </w:tc>
      </w:tr>
      <w:tr w:rsidR="006A516B" w:rsidTr="006A516B">
        <w:tc>
          <w:tcPr>
            <w:tcW w:w="4605" w:type="dxa"/>
          </w:tcPr>
          <w:p w:rsidR="006A516B" w:rsidRDefault="006A516B" w:rsidP="006A51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IDHL -zraňující</w:t>
            </w:r>
          </w:p>
        </w:tc>
        <w:tc>
          <w:tcPr>
            <w:tcW w:w="4605" w:type="dxa"/>
          </w:tcPr>
          <w:p w:rsidR="006A516B" w:rsidRDefault="00254E46" w:rsidP="006A51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cca </w:t>
            </w:r>
            <w:r w:rsidR="006A516B">
              <w:rPr>
                <w:rFonts w:ascii="Arial" w:hAnsi="Arial" w:cs="Arial"/>
              </w:rPr>
              <w:t>14500</w:t>
            </w:r>
          </w:p>
        </w:tc>
      </w:tr>
      <w:tr w:rsidR="006A516B" w:rsidTr="006A516B">
        <w:tc>
          <w:tcPr>
            <w:tcW w:w="4605" w:type="dxa"/>
          </w:tcPr>
          <w:p w:rsidR="006A516B" w:rsidRDefault="006A516B" w:rsidP="006A51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 mortalita</w:t>
            </w:r>
          </w:p>
        </w:tc>
        <w:tc>
          <w:tcPr>
            <w:tcW w:w="4605" w:type="dxa"/>
          </w:tcPr>
          <w:p w:rsidR="006A516B" w:rsidRDefault="006A516B" w:rsidP="006A51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254E46" w:rsidRDefault="00254E46" w:rsidP="00254E46">
      <w:pPr>
        <w:tabs>
          <w:tab w:val="left" w:pos="118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2.  </w:t>
      </w:r>
      <w:r w:rsidRPr="00F61825">
        <w:rPr>
          <w:rFonts w:ascii="Arial" w:hAnsi="Arial" w:cs="Arial"/>
        </w:rPr>
        <w:t>Rozsah zasažení při úniku</w:t>
      </w:r>
      <w:r>
        <w:rPr>
          <w:rFonts w:ascii="Arial" w:hAnsi="Arial" w:cs="Arial"/>
        </w:rPr>
        <w:t xml:space="preserve"> </w:t>
      </w:r>
      <w:r w:rsidRPr="00F61825">
        <w:rPr>
          <w:rFonts w:ascii="Arial" w:hAnsi="Arial" w:cs="Arial"/>
        </w:rPr>
        <w:t>chlóru ze zásobníku v areálu Fakultní nemocnice Na Bulovce</w:t>
      </w:r>
      <w:r>
        <w:rPr>
          <w:rFonts w:ascii="Arial" w:hAnsi="Arial" w:cs="Arial"/>
        </w:rPr>
        <w:t>,</w:t>
      </w:r>
    </w:p>
    <w:p w:rsidR="00254E46" w:rsidRDefault="00254E46" w:rsidP="00254E46">
      <w:pPr>
        <w:tabs>
          <w:tab w:val="left" w:pos="1185"/>
        </w:tabs>
        <w:rPr>
          <w:rFonts w:ascii="Arial" w:hAnsi="Arial" w:cs="Arial"/>
        </w:rPr>
      </w:pPr>
    </w:p>
    <w:p w:rsidR="00254E46" w:rsidRDefault="00254E46" w:rsidP="00254E46">
      <w:pPr>
        <w:tabs>
          <w:tab w:val="left" w:pos="1185"/>
        </w:tabs>
      </w:pPr>
      <w:r>
        <w:rPr>
          <w:noProof/>
          <w:lang w:eastAsia="cs-CZ"/>
        </w:rPr>
        <w:drawing>
          <wp:inline distT="0" distB="0" distL="0" distR="0">
            <wp:extent cx="5465445" cy="5313045"/>
            <wp:effectExtent l="19050" t="0" r="1905" b="0"/>
            <wp:docPr id="3" name="obrázek 3" descr="ChlorBulovka2013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lorBulovka2013deta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531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46" w:rsidRDefault="00254E46" w:rsidP="00254E46">
      <w:pPr>
        <w:tabs>
          <w:tab w:val="left" w:pos="1185"/>
        </w:tabs>
      </w:pPr>
    </w:p>
    <w:p w:rsidR="00254E46" w:rsidRDefault="00254E46" w:rsidP="00254E46">
      <w:pPr>
        <w:tabs>
          <w:tab w:val="left" w:pos="1185"/>
        </w:tabs>
      </w:pPr>
    </w:p>
    <w:p w:rsidR="00254E46" w:rsidRDefault="00254E46" w:rsidP="00254E46">
      <w:pPr>
        <w:tabs>
          <w:tab w:val="left" w:pos="1185"/>
        </w:tabs>
      </w:pPr>
    </w:p>
    <w:tbl>
      <w:tblPr>
        <w:tblStyle w:val="Mkatabulky"/>
        <w:tblW w:w="0" w:type="auto"/>
        <w:tblLook w:val="01E0"/>
      </w:tblPr>
      <w:tblGrid>
        <w:gridCol w:w="4605"/>
        <w:gridCol w:w="4605"/>
      </w:tblGrid>
      <w:tr w:rsidR="00254E46" w:rsidTr="00AC62F7">
        <w:tc>
          <w:tcPr>
            <w:tcW w:w="4605" w:type="dxa"/>
          </w:tcPr>
          <w:p w:rsidR="00254E46" w:rsidRDefault="00254E46" w:rsidP="00AC6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Rozsah zasažení</w:t>
            </w:r>
          </w:p>
        </w:tc>
        <w:tc>
          <w:tcPr>
            <w:tcW w:w="4605" w:type="dxa"/>
          </w:tcPr>
          <w:p w:rsidR="00254E46" w:rsidRDefault="00254E46" w:rsidP="00AC6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Počet obyvatel v zasažené oblasti</w:t>
            </w:r>
          </w:p>
        </w:tc>
      </w:tr>
      <w:tr w:rsidR="00254E46" w:rsidTr="00AC62F7">
        <w:tc>
          <w:tcPr>
            <w:tcW w:w="4605" w:type="dxa"/>
          </w:tcPr>
          <w:p w:rsidR="00254E46" w:rsidRDefault="00254E46" w:rsidP="00AC6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IDHL -zraňující</w:t>
            </w:r>
          </w:p>
        </w:tc>
        <w:tc>
          <w:tcPr>
            <w:tcW w:w="4605" w:type="dxa"/>
          </w:tcPr>
          <w:p w:rsidR="00254E46" w:rsidRDefault="00254E46" w:rsidP="00AC62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cca 13700</w:t>
            </w:r>
          </w:p>
        </w:tc>
      </w:tr>
      <w:tr w:rsidR="00254E46" w:rsidTr="00AC62F7">
        <w:tc>
          <w:tcPr>
            <w:tcW w:w="4605" w:type="dxa"/>
          </w:tcPr>
          <w:p w:rsidR="00254E46" w:rsidRDefault="00254E46" w:rsidP="00AC6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 mortalita</w:t>
            </w:r>
          </w:p>
        </w:tc>
        <w:tc>
          <w:tcPr>
            <w:tcW w:w="4605" w:type="dxa"/>
          </w:tcPr>
          <w:p w:rsidR="00254E46" w:rsidRDefault="00254E46" w:rsidP="00AC62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254E46" w:rsidRDefault="00254E46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254E46" w:rsidRDefault="00254E46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254E46" w:rsidRDefault="00254E46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254E46" w:rsidRDefault="00254E46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254E46" w:rsidRPr="00F61825" w:rsidRDefault="00254E46" w:rsidP="00254E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    </w:t>
      </w:r>
      <w:r w:rsidRPr="00F61825">
        <w:rPr>
          <w:rFonts w:ascii="Arial" w:hAnsi="Arial" w:cs="Arial"/>
        </w:rPr>
        <w:t xml:space="preserve">Rozsah zasažení při úniku chlóru ze zásobníku v areálu Vodojem </w:t>
      </w:r>
      <w:proofErr w:type="spellStart"/>
      <w:r w:rsidRPr="00F61825">
        <w:rPr>
          <w:rFonts w:ascii="Arial" w:hAnsi="Arial" w:cs="Arial"/>
        </w:rPr>
        <w:t>Ládví</w:t>
      </w:r>
      <w:proofErr w:type="spellEnd"/>
      <w:r w:rsidRPr="00F61825">
        <w:rPr>
          <w:rFonts w:ascii="Arial" w:hAnsi="Arial" w:cs="Arial"/>
        </w:rPr>
        <w:t xml:space="preserve"> I</w:t>
      </w:r>
    </w:p>
    <w:p w:rsidR="00254E46" w:rsidRDefault="00254E46" w:rsidP="00254E46">
      <w:pPr>
        <w:tabs>
          <w:tab w:val="left" w:pos="1185"/>
        </w:tabs>
      </w:pPr>
    </w:p>
    <w:p w:rsidR="00254E46" w:rsidRDefault="00254E46" w:rsidP="00254E46">
      <w:pPr>
        <w:tabs>
          <w:tab w:val="left" w:pos="1185"/>
        </w:tabs>
      </w:pPr>
      <w:r>
        <w:rPr>
          <w:noProof/>
          <w:lang w:eastAsia="cs-CZ"/>
        </w:rPr>
        <w:drawing>
          <wp:inline distT="0" distB="0" distL="0" distR="0">
            <wp:extent cx="5826125" cy="4191000"/>
            <wp:effectExtent l="19050" t="0" r="3175" b="0"/>
            <wp:docPr id="5" name="obrázek 5" descr="ChlorLádví2013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lorLádví2013det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46" w:rsidRPr="004C3395" w:rsidRDefault="00254E46" w:rsidP="00254E46"/>
    <w:p w:rsidR="00254E46" w:rsidRPr="004C3395" w:rsidRDefault="00254E46" w:rsidP="00254E46"/>
    <w:p w:rsidR="00254E46" w:rsidRPr="004C3395" w:rsidRDefault="00254E46" w:rsidP="00254E46"/>
    <w:p w:rsidR="00254E46" w:rsidRPr="004C3395" w:rsidRDefault="00254E46" w:rsidP="00254E46"/>
    <w:tbl>
      <w:tblPr>
        <w:tblStyle w:val="Mkatabulky"/>
        <w:tblW w:w="0" w:type="auto"/>
        <w:tblLook w:val="01E0"/>
      </w:tblPr>
      <w:tblGrid>
        <w:gridCol w:w="4605"/>
        <w:gridCol w:w="4605"/>
      </w:tblGrid>
      <w:tr w:rsidR="00254E46" w:rsidTr="00AC62F7">
        <w:tc>
          <w:tcPr>
            <w:tcW w:w="4605" w:type="dxa"/>
          </w:tcPr>
          <w:p w:rsidR="00254E46" w:rsidRDefault="00254E46" w:rsidP="00AC6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Rozsah zasažení</w:t>
            </w:r>
          </w:p>
        </w:tc>
        <w:tc>
          <w:tcPr>
            <w:tcW w:w="4605" w:type="dxa"/>
          </w:tcPr>
          <w:p w:rsidR="00254E46" w:rsidRDefault="00254E46" w:rsidP="00AC6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Počet obyvatel v zasažené oblasti</w:t>
            </w:r>
          </w:p>
        </w:tc>
      </w:tr>
      <w:tr w:rsidR="00254E46" w:rsidTr="00AC62F7">
        <w:tc>
          <w:tcPr>
            <w:tcW w:w="4605" w:type="dxa"/>
          </w:tcPr>
          <w:p w:rsidR="00254E46" w:rsidRDefault="00254E46" w:rsidP="00AC6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IDHL -zraňující</w:t>
            </w:r>
          </w:p>
        </w:tc>
        <w:tc>
          <w:tcPr>
            <w:tcW w:w="4605" w:type="dxa"/>
          </w:tcPr>
          <w:p w:rsidR="00254E46" w:rsidRDefault="00254E46" w:rsidP="00AC62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cca 36900</w:t>
            </w:r>
          </w:p>
        </w:tc>
      </w:tr>
      <w:tr w:rsidR="00254E46" w:rsidTr="00AC62F7">
        <w:tc>
          <w:tcPr>
            <w:tcW w:w="4605" w:type="dxa"/>
          </w:tcPr>
          <w:p w:rsidR="00254E46" w:rsidRDefault="00254E46" w:rsidP="00AC6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 mortalita</w:t>
            </w:r>
          </w:p>
        </w:tc>
        <w:tc>
          <w:tcPr>
            <w:tcW w:w="4605" w:type="dxa"/>
          </w:tcPr>
          <w:p w:rsidR="00254E46" w:rsidRDefault="00254E46" w:rsidP="00AC62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254E46" w:rsidRPr="006A516B" w:rsidRDefault="00254E46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6A516B" w:rsidRP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b/>
          <w:sz w:val="44"/>
          <w:szCs w:val="44"/>
          <w:lang w:eastAsia="cs-CZ"/>
        </w:rPr>
      </w:pPr>
    </w:p>
    <w:p w:rsidR="006A516B" w:rsidRPr="006A516B" w:rsidRDefault="006A516B" w:rsidP="006A516B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C23693" w:rsidRDefault="00C23693"/>
    <w:sectPr w:rsidR="00C23693" w:rsidSect="00C23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D418A"/>
    <w:multiLevelType w:val="multilevel"/>
    <w:tmpl w:val="50089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086011"/>
    <w:multiLevelType w:val="hybridMultilevel"/>
    <w:tmpl w:val="FD5A1E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27716"/>
    <w:multiLevelType w:val="multilevel"/>
    <w:tmpl w:val="D3423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F6A36"/>
    <w:rsid w:val="001B34F0"/>
    <w:rsid w:val="001E2039"/>
    <w:rsid w:val="00221C8B"/>
    <w:rsid w:val="0022218A"/>
    <w:rsid w:val="00237C4F"/>
    <w:rsid w:val="00254E46"/>
    <w:rsid w:val="006A516B"/>
    <w:rsid w:val="009336E3"/>
    <w:rsid w:val="00AC62F7"/>
    <w:rsid w:val="00BB085B"/>
    <w:rsid w:val="00C23693"/>
    <w:rsid w:val="00D03D56"/>
    <w:rsid w:val="00D80DD0"/>
    <w:rsid w:val="00FF6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3693"/>
  </w:style>
  <w:style w:type="paragraph" w:styleId="Nadpis1">
    <w:name w:val="heading 1"/>
    <w:basedOn w:val="Normln"/>
    <w:link w:val="Nadpis1Char"/>
    <w:uiPriority w:val="9"/>
    <w:qFormat/>
    <w:rsid w:val="00FF6A36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FF6A36"/>
    <w:pPr>
      <w:spacing w:before="100" w:beforeAutospacing="1" w:after="100" w:afterAutospacing="1" w:line="240" w:lineRule="auto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F6A3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FF6A3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perex">
    <w:name w:val="perex"/>
    <w:basedOn w:val="Normln"/>
    <w:rsid w:val="00FF6A3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F6A3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F6A36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FF6A36"/>
    <w:rPr>
      <w:b/>
      <w:bCs/>
    </w:rPr>
  </w:style>
  <w:style w:type="paragraph" w:styleId="Odstavecseseznamem">
    <w:name w:val="List Paragraph"/>
    <w:basedOn w:val="Normln"/>
    <w:uiPriority w:val="34"/>
    <w:qFormat/>
    <w:rsid w:val="00D80D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03D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3D56"/>
    <w:rPr>
      <w:rFonts w:ascii="Tahoma" w:hAnsi="Tahoma" w:cs="Tahoma"/>
      <w:sz w:val="16"/>
      <w:szCs w:val="16"/>
    </w:rPr>
  </w:style>
  <w:style w:type="paragraph" w:customStyle="1" w:styleId="KPnorm">
    <w:name w:val="KP_norm"/>
    <w:basedOn w:val="Normln"/>
    <w:link w:val="KPnormChar"/>
    <w:qFormat/>
    <w:rsid w:val="006A516B"/>
    <w:pPr>
      <w:spacing w:before="120" w:after="120" w:line="288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KPnormChar">
    <w:name w:val="KP_norm Char"/>
    <w:link w:val="KPnorm"/>
    <w:rsid w:val="006A516B"/>
    <w:rPr>
      <w:rFonts w:ascii="Arial" w:eastAsia="Times New Roman" w:hAnsi="Arial" w:cs="Times New Roman"/>
      <w:sz w:val="24"/>
      <w:szCs w:val="24"/>
    </w:rPr>
  </w:style>
  <w:style w:type="table" w:styleId="Mkatabulky">
    <w:name w:val="Table Grid"/>
    <w:basedOn w:val="Normlntabulka"/>
    <w:rsid w:val="006A516B"/>
    <w:pPr>
      <w:spacing w:line="240" w:lineRule="auto"/>
      <w:jc w:val="left"/>
    </w:pPr>
    <w:rPr>
      <w:rFonts w:ascii="Calibri" w:eastAsia="Times New Roman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5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ha.eu/public/cd/21/2f/444693_62687_sirena1_m.JP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praha.eu/jnp/cz/o_meste/magistrat/odbory/odbor_bezpecnosti_a_krizoveho_rizeni/system_varovani_obyvatelstva_na_uzemi.html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hzscr.cz/clanek/prirucky.asp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praha.eu/jnp/cz/o_meste/magistrat/odbory/odbor_bezpecnosti_a_krizoveho_rizeni/zakladni_informace/zakladni_informace_pro_obyvatele_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aha.eu/public/38/2f/ba/444989_62687_sirena2_m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%username%istrator</dc:creator>
  <cp:lastModifiedBy>%username%istrator</cp:lastModifiedBy>
  <cp:revision>2</cp:revision>
  <dcterms:created xsi:type="dcterms:W3CDTF">2015-03-12T07:58:00Z</dcterms:created>
  <dcterms:modified xsi:type="dcterms:W3CDTF">2015-03-12T07:58:00Z</dcterms:modified>
</cp:coreProperties>
</file>