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B8" w:rsidRDefault="005474B8" w:rsidP="005474B8">
      <w:pPr>
        <w:pStyle w:val="Nadpis1"/>
        <w:spacing w:before="0"/>
        <w:jc w:val="center"/>
      </w:pPr>
      <w:bookmarkStart w:id="0" w:name="_GoBack"/>
      <w:bookmarkEnd w:id="0"/>
      <w:r w:rsidRPr="005474B8">
        <w:t>Akční plán protidrogové politiky na území Městské části Praha 9</w:t>
      </w:r>
    </w:p>
    <w:p w:rsidR="00436DEB" w:rsidRPr="005474B8" w:rsidRDefault="005474B8" w:rsidP="005474B8">
      <w:pPr>
        <w:pStyle w:val="Nadpis1"/>
        <w:spacing w:before="0"/>
        <w:jc w:val="center"/>
      </w:pPr>
      <w:bookmarkStart w:id="1" w:name="_Toc433703491"/>
      <w:r w:rsidRPr="005474B8">
        <w:t>na rok 201</w:t>
      </w:r>
      <w:bookmarkEnd w:id="1"/>
      <w:r w:rsidR="00E004DE">
        <w:t>7</w:t>
      </w:r>
    </w:p>
    <w:p w:rsidR="00590732" w:rsidRDefault="00590732" w:rsidP="005474B8">
      <w:pPr>
        <w:pStyle w:val="Nadpis2"/>
      </w:pPr>
    </w:p>
    <w:p w:rsidR="005474B8" w:rsidRDefault="008612D3" w:rsidP="005474B8">
      <w:pPr>
        <w:pStyle w:val="Nadpis2"/>
      </w:pPr>
      <w:bookmarkStart w:id="2" w:name="_Toc433703493"/>
      <w:r>
        <w:t>Úvod</w:t>
      </w:r>
      <w:bookmarkEnd w:id="2"/>
    </w:p>
    <w:p w:rsidR="00843C24" w:rsidRPr="00843C24" w:rsidRDefault="00843C24" w:rsidP="00843C24"/>
    <w:p w:rsidR="005474B8" w:rsidRDefault="005474B8" w:rsidP="00A429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74B8">
        <w:rPr>
          <w:rFonts w:ascii="Arial" w:hAnsi="Arial" w:cs="Arial"/>
          <w:sz w:val="24"/>
          <w:szCs w:val="24"/>
        </w:rPr>
        <w:t>Zákl</w:t>
      </w:r>
      <w:r w:rsidRPr="00843C24">
        <w:rPr>
          <w:rFonts w:ascii="Arial" w:hAnsi="Arial" w:cs="Arial"/>
          <w:i/>
          <w:sz w:val="24"/>
          <w:szCs w:val="24"/>
        </w:rPr>
        <w:t>a</w:t>
      </w:r>
      <w:r w:rsidRPr="005474B8">
        <w:rPr>
          <w:rFonts w:ascii="Arial" w:hAnsi="Arial" w:cs="Arial"/>
          <w:sz w:val="24"/>
          <w:szCs w:val="24"/>
        </w:rPr>
        <w:t xml:space="preserve">dním cílem tohoto dokumentu je stanovení priorit a hlavních směrů </w:t>
      </w:r>
      <w:r w:rsidR="008612D3">
        <w:rPr>
          <w:rFonts w:ascii="Arial" w:hAnsi="Arial" w:cs="Arial"/>
          <w:sz w:val="24"/>
          <w:szCs w:val="24"/>
        </w:rPr>
        <w:t xml:space="preserve">realizace </w:t>
      </w:r>
      <w:r w:rsidR="00257A53">
        <w:rPr>
          <w:rFonts w:ascii="Arial" w:hAnsi="Arial" w:cs="Arial"/>
          <w:sz w:val="24"/>
          <w:szCs w:val="24"/>
        </w:rPr>
        <w:t>konkrétní</w:t>
      </w:r>
      <w:r w:rsidR="008612D3">
        <w:rPr>
          <w:rFonts w:ascii="Arial" w:hAnsi="Arial" w:cs="Arial"/>
          <w:sz w:val="24"/>
          <w:szCs w:val="24"/>
        </w:rPr>
        <w:t>ch aktivit</w:t>
      </w:r>
      <w:r w:rsidR="00257A53">
        <w:rPr>
          <w:rFonts w:ascii="Arial" w:hAnsi="Arial" w:cs="Arial"/>
          <w:sz w:val="24"/>
          <w:szCs w:val="24"/>
        </w:rPr>
        <w:t xml:space="preserve"> </w:t>
      </w:r>
      <w:r w:rsidRPr="005474B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5474B8">
        <w:rPr>
          <w:rFonts w:ascii="Arial" w:hAnsi="Arial" w:cs="Arial"/>
          <w:sz w:val="24"/>
          <w:szCs w:val="24"/>
        </w:rPr>
        <w:t>oblas</w:t>
      </w:r>
      <w:r>
        <w:rPr>
          <w:rFonts w:ascii="Arial" w:hAnsi="Arial" w:cs="Arial"/>
          <w:sz w:val="24"/>
          <w:szCs w:val="24"/>
        </w:rPr>
        <w:t>ti</w:t>
      </w:r>
      <w:r w:rsidRPr="005474B8">
        <w:rPr>
          <w:rFonts w:ascii="Arial" w:hAnsi="Arial" w:cs="Arial"/>
          <w:sz w:val="24"/>
          <w:szCs w:val="24"/>
        </w:rPr>
        <w:t xml:space="preserve"> protidrogové politiky</w:t>
      </w:r>
      <w:r>
        <w:rPr>
          <w:rFonts w:ascii="Arial" w:hAnsi="Arial" w:cs="Arial"/>
          <w:sz w:val="24"/>
          <w:szCs w:val="24"/>
        </w:rPr>
        <w:t xml:space="preserve"> MČ Praha 9 v roce 201</w:t>
      </w:r>
      <w:r w:rsidR="00843C2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978B2" w:rsidRDefault="00B978B2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474B8" w:rsidRDefault="005474B8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Akční plán protidrogové politiky je vytvořen v souladu se </w:t>
      </w:r>
      <w:r>
        <w:rPr>
          <w:rFonts w:ascii="TimesNewRoman" w:hAnsi="TimesNewRoman" w:cs="TimesNewRoman"/>
          <w:sz w:val="24"/>
          <w:szCs w:val="24"/>
        </w:rPr>
        <w:t>strategickými dokumenty</w:t>
      </w:r>
      <w:r w:rsidR="00914DC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přijatými na celostátní úrovni </w:t>
      </w:r>
      <w:r w:rsidR="00BB72E7">
        <w:rPr>
          <w:rFonts w:ascii="TimesNewRoman" w:hAnsi="TimesNewRoman" w:cs="TimesNew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 xml:space="preserve"> na úrovni hl. m. Prahy:</w:t>
      </w:r>
    </w:p>
    <w:p w:rsidR="00EA4B22" w:rsidRDefault="00EA4B22" w:rsidP="00914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14DCB" w:rsidRDefault="00914DCB" w:rsidP="00914D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14DCB">
        <w:rPr>
          <w:rFonts w:ascii="Arial" w:hAnsi="Arial" w:cs="Arial"/>
          <w:i/>
          <w:sz w:val="24"/>
          <w:szCs w:val="24"/>
        </w:rPr>
        <w:t>Koncepce protidrogové politiky hlavního města Prahy na období 2014 až 2020</w:t>
      </w:r>
    </w:p>
    <w:p w:rsidR="00843C24" w:rsidRPr="00914DCB" w:rsidRDefault="00843C24" w:rsidP="00843C24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14DCB" w:rsidRDefault="00914DCB" w:rsidP="00914D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14DCB">
        <w:rPr>
          <w:rFonts w:ascii="Arial" w:hAnsi="Arial" w:cs="Arial"/>
          <w:i/>
          <w:sz w:val="24"/>
          <w:szCs w:val="24"/>
        </w:rPr>
        <w:t>Strategie protidrogové politiky hlavního města Prahy na období 2014 až 2020</w:t>
      </w:r>
    </w:p>
    <w:p w:rsidR="00843C24" w:rsidRPr="00914DCB" w:rsidRDefault="00843C24" w:rsidP="00843C24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14DCB" w:rsidRDefault="00914DCB" w:rsidP="00914D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14DCB">
        <w:rPr>
          <w:rFonts w:ascii="Arial" w:hAnsi="Arial" w:cs="Arial"/>
          <w:i/>
          <w:sz w:val="24"/>
          <w:szCs w:val="24"/>
        </w:rPr>
        <w:t>Akční plán protidrogové politiky hlavního města Prahy na období 2014 až 2016</w:t>
      </w:r>
    </w:p>
    <w:p w:rsidR="00843C24" w:rsidRPr="00914DCB" w:rsidRDefault="00843C24" w:rsidP="00843C24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14DCB" w:rsidRDefault="00914DCB" w:rsidP="00914D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14DCB">
        <w:rPr>
          <w:rFonts w:ascii="Arial" w:hAnsi="Arial" w:cs="Arial"/>
          <w:i/>
          <w:sz w:val="24"/>
          <w:szCs w:val="24"/>
        </w:rPr>
        <w:t>Koncepce primární prevence rizikového chování dětí a mládeže na území hlavního města Prahy na období 2014 až 2020</w:t>
      </w:r>
    </w:p>
    <w:p w:rsidR="00843C24" w:rsidRPr="00914DCB" w:rsidRDefault="00843C24" w:rsidP="00843C24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14DCB" w:rsidRDefault="00EA4B22" w:rsidP="00914D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14DCB">
        <w:rPr>
          <w:rFonts w:ascii="Arial" w:hAnsi="Arial" w:cs="Arial"/>
          <w:i/>
          <w:sz w:val="24"/>
          <w:szCs w:val="24"/>
        </w:rPr>
        <w:t>Národní strategie primární prevence rizikového chování dětí a mládeže na období 2013 – 2018</w:t>
      </w:r>
      <w:r w:rsidR="005474B8" w:rsidRPr="00914DCB">
        <w:rPr>
          <w:rFonts w:ascii="Arial" w:hAnsi="Arial" w:cs="Arial"/>
          <w:i/>
          <w:sz w:val="24"/>
          <w:szCs w:val="24"/>
        </w:rPr>
        <w:t xml:space="preserve"> </w:t>
      </w:r>
      <w:r w:rsidR="00914DCB">
        <w:rPr>
          <w:rFonts w:ascii="Arial" w:hAnsi="Arial" w:cs="Arial"/>
          <w:i/>
          <w:sz w:val="24"/>
          <w:szCs w:val="24"/>
        </w:rPr>
        <w:t>(přijato MŠMT)</w:t>
      </w:r>
      <w:r w:rsidR="005474B8" w:rsidRPr="00914DCB">
        <w:rPr>
          <w:rFonts w:ascii="Arial" w:hAnsi="Arial" w:cs="Arial"/>
          <w:i/>
          <w:sz w:val="24"/>
          <w:szCs w:val="24"/>
        </w:rPr>
        <w:t xml:space="preserve">  </w:t>
      </w:r>
    </w:p>
    <w:p w:rsidR="00843C24" w:rsidRDefault="00843C24" w:rsidP="00843C24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14DCB" w:rsidRDefault="00914DCB" w:rsidP="00914DC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914DCB">
        <w:rPr>
          <w:rFonts w:ascii="Arial" w:hAnsi="Arial" w:cs="Arial"/>
          <w:i/>
          <w:sz w:val="24"/>
          <w:szCs w:val="24"/>
        </w:rPr>
        <w:t>Národní strategie protidrogové politiky na období 2010-2018</w:t>
      </w:r>
      <w:r>
        <w:rPr>
          <w:rFonts w:ascii="Arial" w:hAnsi="Arial" w:cs="Arial"/>
          <w:i/>
          <w:sz w:val="24"/>
          <w:szCs w:val="24"/>
        </w:rPr>
        <w:t xml:space="preserve"> (přijato vládou ČR) </w:t>
      </w:r>
      <w:r w:rsidR="005474B8" w:rsidRPr="00914DCB">
        <w:rPr>
          <w:rFonts w:ascii="Arial" w:hAnsi="Arial" w:cs="Arial"/>
          <w:i/>
          <w:sz w:val="24"/>
          <w:szCs w:val="24"/>
        </w:rPr>
        <w:t xml:space="preserve">  </w:t>
      </w:r>
    </w:p>
    <w:p w:rsid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43C24" w:rsidRDefault="00843C24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004DE" w:rsidRPr="00E004DE" w:rsidRDefault="00E004DE" w:rsidP="00E004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8612D3" w:rsidRDefault="009A5962" w:rsidP="00A42921">
      <w:pPr>
        <w:pStyle w:val="Nadpis2"/>
        <w:spacing w:line="360" w:lineRule="auto"/>
      </w:pPr>
      <w:bookmarkStart w:id="3" w:name="_Toc433703494"/>
      <w:r>
        <w:t xml:space="preserve">1. </w:t>
      </w:r>
      <w:r w:rsidR="008612D3">
        <w:t>Základní přístupy k řešení problému užívání drog</w:t>
      </w:r>
      <w:bookmarkEnd w:id="3"/>
    </w:p>
    <w:p w:rsidR="00914DCB" w:rsidRPr="00594BDD" w:rsidRDefault="008612D3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94BDD">
        <w:rPr>
          <w:rFonts w:ascii="Arial" w:hAnsi="Arial" w:cs="Arial"/>
          <w:sz w:val="24"/>
          <w:szCs w:val="24"/>
        </w:rPr>
        <w:t>Národní strategie protidrogové politiky na období 2010-2018 definuje a rozli</w:t>
      </w:r>
      <w:r w:rsidR="00594BDD" w:rsidRPr="00594BDD">
        <w:rPr>
          <w:rFonts w:ascii="Arial" w:hAnsi="Arial" w:cs="Arial"/>
          <w:sz w:val="24"/>
          <w:szCs w:val="24"/>
        </w:rPr>
        <w:t>š</w:t>
      </w:r>
      <w:r w:rsidRPr="00594BDD">
        <w:rPr>
          <w:rFonts w:ascii="Arial" w:hAnsi="Arial" w:cs="Arial"/>
          <w:sz w:val="24"/>
          <w:szCs w:val="24"/>
        </w:rPr>
        <w:t xml:space="preserve">uje následující </w:t>
      </w:r>
      <w:r w:rsidR="00594BDD" w:rsidRPr="00594BDD">
        <w:rPr>
          <w:rFonts w:ascii="Arial" w:hAnsi="Arial" w:cs="Arial"/>
          <w:sz w:val="24"/>
          <w:szCs w:val="24"/>
        </w:rPr>
        <w:t xml:space="preserve">základní </w:t>
      </w:r>
      <w:r w:rsidRPr="00594BDD">
        <w:rPr>
          <w:rFonts w:ascii="Arial" w:hAnsi="Arial" w:cs="Arial"/>
          <w:sz w:val="24"/>
          <w:szCs w:val="24"/>
        </w:rPr>
        <w:t xml:space="preserve">přístupy </w:t>
      </w:r>
      <w:r w:rsidR="00594BDD" w:rsidRPr="00594BDD">
        <w:rPr>
          <w:rFonts w:ascii="Arial" w:hAnsi="Arial" w:cs="Arial"/>
          <w:sz w:val="24"/>
          <w:szCs w:val="24"/>
        </w:rPr>
        <w:t>pro řešení problémů spojených s užíváním návykových látek</w:t>
      </w:r>
      <w:r w:rsidR="00594BDD">
        <w:rPr>
          <w:rFonts w:ascii="Arial" w:hAnsi="Arial" w:cs="Arial"/>
          <w:sz w:val="24"/>
          <w:szCs w:val="24"/>
        </w:rPr>
        <w:t xml:space="preserve"> (bod č. 4)</w:t>
      </w:r>
      <w:r w:rsidR="00594BDD" w:rsidRPr="00594BDD">
        <w:rPr>
          <w:rFonts w:ascii="Arial" w:hAnsi="Arial" w:cs="Arial"/>
          <w:sz w:val="24"/>
          <w:szCs w:val="24"/>
        </w:rPr>
        <w:t>:</w:t>
      </w:r>
      <w:r w:rsidR="00594BDD">
        <w:rPr>
          <w:rFonts w:ascii="Arial" w:hAnsi="Arial" w:cs="Arial"/>
          <w:sz w:val="24"/>
          <w:szCs w:val="24"/>
        </w:rPr>
        <w:t xml:space="preserve"> </w:t>
      </w:r>
      <w:r w:rsidR="00594BDD" w:rsidRPr="00594BDD">
        <w:rPr>
          <w:rFonts w:ascii="Arial" w:hAnsi="Arial" w:cs="Arial"/>
          <w:i/>
          <w:sz w:val="24"/>
          <w:szCs w:val="24"/>
        </w:rPr>
        <w:t>„</w:t>
      </w:r>
      <w:r w:rsidR="00914DCB" w:rsidRPr="00594BDD">
        <w:rPr>
          <w:rFonts w:ascii="Arial" w:hAnsi="Arial" w:cs="Arial"/>
          <w:i/>
          <w:sz w:val="24"/>
          <w:szCs w:val="24"/>
        </w:rPr>
        <w:t>Jako účinný, směřující k řešení problémů spojených s užíváním drog, uznává vláda ČR komplexní,</w:t>
      </w:r>
      <w:r w:rsidRPr="00594BDD">
        <w:rPr>
          <w:rFonts w:ascii="Arial" w:hAnsi="Arial" w:cs="Arial"/>
          <w:i/>
          <w:sz w:val="24"/>
          <w:szCs w:val="24"/>
        </w:rPr>
        <w:t xml:space="preserve"> </w:t>
      </w:r>
      <w:r w:rsidR="00914DCB" w:rsidRPr="00594BDD">
        <w:rPr>
          <w:rFonts w:ascii="Arial" w:hAnsi="Arial" w:cs="Arial"/>
          <w:i/>
          <w:sz w:val="24"/>
          <w:szCs w:val="24"/>
        </w:rPr>
        <w:t>multidisciplinární a vyvážený přístup. Tedy takový, který vychází ze široké</w:t>
      </w:r>
      <w:r w:rsidRPr="00594BDD">
        <w:rPr>
          <w:rFonts w:ascii="Arial" w:hAnsi="Arial" w:cs="Arial"/>
          <w:i/>
          <w:sz w:val="24"/>
          <w:szCs w:val="24"/>
        </w:rPr>
        <w:t xml:space="preserve"> </w:t>
      </w:r>
      <w:r w:rsidR="00914DCB" w:rsidRPr="00594BDD">
        <w:rPr>
          <w:rFonts w:ascii="Arial" w:hAnsi="Arial" w:cs="Arial"/>
          <w:i/>
          <w:sz w:val="24"/>
          <w:szCs w:val="24"/>
        </w:rPr>
        <w:t>celospolečenské,</w:t>
      </w:r>
      <w:r w:rsidR="00594BDD">
        <w:rPr>
          <w:rFonts w:ascii="Arial" w:hAnsi="Arial" w:cs="Arial"/>
          <w:i/>
          <w:sz w:val="24"/>
          <w:szCs w:val="24"/>
        </w:rPr>
        <w:t xml:space="preserve"> </w:t>
      </w:r>
      <w:r w:rsidR="00914DCB" w:rsidRPr="00594BDD">
        <w:rPr>
          <w:rFonts w:ascii="Arial" w:hAnsi="Arial" w:cs="Arial"/>
          <w:i/>
          <w:sz w:val="24"/>
          <w:szCs w:val="24"/>
        </w:rPr>
        <w:t>mezirezortní, mezioborové a mezisektorové spolupráce na všech úrovních. Je postaven na</w:t>
      </w:r>
      <w:r w:rsidR="00594BDD">
        <w:rPr>
          <w:rFonts w:ascii="Arial" w:hAnsi="Arial" w:cs="Arial"/>
          <w:i/>
          <w:sz w:val="24"/>
          <w:szCs w:val="24"/>
        </w:rPr>
        <w:t xml:space="preserve"> </w:t>
      </w:r>
      <w:r w:rsidR="00914DCB" w:rsidRPr="00594BDD">
        <w:rPr>
          <w:rFonts w:ascii="Arial" w:hAnsi="Arial" w:cs="Arial"/>
          <w:i/>
          <w:sz w:val="24"/>
          <w:szCs w:val="24"/>
        </w:rPr>
        <w:t>komplexním, výzkumem podloženém a vyváženém uplatňování tří základních strategií/přístupů</w:t>
      </w:r>
      <w:r w:rsidR="00594BDD">
        <w:rPr>
          <w:rFonts w:ascii="Arial" w:hAnsi="Arial" w:cs="Arial"/>
          <w:i/>
          <w:sz w:val="24"/>
          <w:szCs w:val="24"/>
        </w:rPr>
        <w:t xml:space="preserve"> </w:t>
      </w:r>
      <w:r w:rsidR="00914DCB" w:rsidRPr="00594BDD">
        <w:rPr>
          <w:rFonts w:ascii="Arial" w:hAnsi="Arial" w:cs="Arial"/>
          <w:i/>
          <w:sz w:val="24"/>
          <w:szCs w:val="24"/>
        </w:rPr>
        <w:t>moderní protidrogové politiky, které jsou vzájemně nezastupitelné a doplňují se. Těmito přístupy</w:t>
      </w:r>
      <w:r w:rsidR="00594BDD">
        <w:rPr>
          <w:rFonts w:ascii="Arial" w:hAnsi="Arial" w:cs="Arial"/>
          <w:i/>
          <w:sz w:val="24"/>
          <w:szCs w:val="24"/>
        </w:rPr>
        <w:t xml:space="preserve"> </w:t>
      </w:r>
      <w:r w:rsidR="00914DCB" w:rsidRPr="00594BDD">
        <w:rPr>
          <w:rFonts w:ascii="Arial" w:hAnsi="Arial" w:cs="Arial"/>
          <w:i/>
          <w:sz w:val="24"/>
          <w:szCs w:val="24"/>
        </w:rPr>
        <w:t>jsou:</w:t>
      </w:r>
    </w:p>
    <w:p w:rsidR="00914DCB" w:rsidRPr="00594BDD" w:rsidRDefault="00914DCB" w:rsidP="00A429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94BDD">
        <w:rPr>
          <w:rFonts w:ascii="Arial" w:hAnsi="Arial" w:cs="Arial"/>
          <w:b/>
          <w:i/>
          <w:sz w:val="24"/>
          <w:szCs w:val="24"/>
        </w:rPr>
        <w:t>snižování nabídky drog</w:t>
      </w:r>
      <w:r w:rsidRPr="00594BDD">
        <w:rPr>
          <w:rFonts w:ascii="Arial" w:hAnsi="Arial" w:cs="Arial"/>
          <w:i/>
          <w:sz w:val="24"/>
          <w:szCs w:val="24"/>
        </w:rPr>
        <w:t xml:space="preserve"> (kontrola prodeje a distribuce legálních a potlačování nezákonné</w:t>
      </w:r>
      <w:r w:rsidR="00594BDD">
        <w:rPr>
          <w:rFonts w:ascii="Arial" w:hAnsi="Arial" w:cs="Arial"/>
          <w:i/>
          <w:sz w:val="24"/>
          <w:szCs w:val="24"/>
        </w:rPr>
        <w:t xml:space="preserve"> </w:t>
      </w:r>
      <w:r w:rsidRPr="00594BDD">
        <w:rPr>
          <w:rFonts w:ascii="Arial" w:hAnsi="Arial" w:cs="Arial"/>
          <w:i/>
          <w:sz w:val="24"/>
          <w:szCs w:val="24"/>
        </w:rPr>
        <w:t>výroby a distribuce nelegálních drog),</w:t>
      </w:r>
    </w:p>
    <w:p w:rsidR="00914DCB" w:rsidRPr="00594BDD" w:rsidRDefault="00914DCB" w:rsidP="00A429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94BDD">
        <w:rPr>
          <w:rFonts w:ascii="Arial" w:hAnsi="Arial" w:cs="Arial"/>
          <w:b/>
          <w:i/>
          <w:sz w:val="24"/>
          <w:szCs w:val="24"/>
        </w:rPr>
        <w:t>snižování poptávky po drogách</w:t>
      </w:r>
      <w:r w:rsidRPr="00594BDD">
        <w:rPr>
          <w:rFonts w:ascii="Arial" w:hAnsi="Arial" w:cs="Arial"/>
          <w:i/>
          <w:sz w:val="24"/>
          <w:szCs w:val="24"/>
        </w:rPr>
        <w:t xml:space="preserve"> (primární prevence, léčba a sociální začleňování</w:t>
      </w:r>
      <w:r w:rsidR="00594BDD">
        <w:rPr>
          <w:rFonts w:ascii="Arial" w:hAnsi="Arial" w:cs="Arial"/>
          <w:i/>
          <w:sz w:val="24"/>
          <w:szCs w:val="24"/>
        </w:rPr>
        <w:t xml:space="preserve"> </w:t>
      </w:r>
      <w:r w:rsidRPr="00594BDD">
        <w:rPr>
          <w:rFonts w:ascii="Arial" w:hAnsi="Arial" w:cs="Arial"/>
          <w:i/>
          <w:sz w:val="24"/>
          <w:szCs w:val="24"/>
        </w:rPr>
        <w:t>uživatelů),</w:t>
      </w:r>
    </w:p>
    <w:p w:rsidR="00914DCB" w:rsidRPr="00594BDD" w:rsidRDefault="00914DCB" w:rsidP="00A429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94BDD">
        <w:rPr>
          <w:rFonts w:ascii="Arial" w:hAnsi="Arial" w:cs="Arial"/>
          <w:b/>
          <w:i/>
          <w:sz w:val="24"/>
          <w:szCs w:val="24"/>
        </w:rPr>
        <w:t>snižování rizik spojených s jejich užíváním</w:t>
      </w:r>
      <w:r w:rsidRPr="00594BDD">
        <w:rPr>
          <w:rFonts w:ascii="Arial" w:hAnsi="Arial" w:cs="Arial"/>
          <w:i/>
          <w:sz w:val="24"/>
          <w:szCs w:val="24"/>
        </w:rPr>
        <w:t>.</w:t>
      </w:r>
    </w:p>
    <w:p w:rsidR="00EA4B22" w:rsidRDefault="00914DCB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94BDD">
        <w:rPr>
          <w:rFonts w:ascii="Arial" w:hAnsi="Arial" w:cs="Arial"/>
          <w:i/>
          <w:sz w:val="24"/>
          <w:szCs w:val="24"/>
        </w:rPr>
        <w:t>Protidrogovou politiku ČR proto budou, v kontextu těchto přístupů, i nadále tvořit čtyři základní</w:t>
      </w:r>
      <w:r w:rsidR="00594BDD">
        <w:rPr>
          <w:rFonts w:ascii="Arial" w:hAnsi="Arial" w:cs="Arial"/>
          <w:i/>
          <w:sz w:val="24"/>
          <w:szCs w:val="24"/>
        </w:rPr>
        <w:t xml:space="preserve"> </w:t>
      </w:r>
      <w:r w:rsidRPr="00594BDD">
        <w:rPr>
          <w:rFonts w:ascii="Arial" w:hAnsi="Arial" w:cs="Arial"/>
          <w:i/>
          <w:sz w:val="24"/>
          <w:szCs w:val="24"/>
        </w:rPr>
        <w:t xml:space="preserve">pilíře: </w:t>
      </w:r>
      <w:r w:rsidRPr="00594BDD">
        <w:rPr>
          <w:rFonts w:ascii="Arial" w:hAnsi="Arial" w:cs="Arial"/>
          <w:b/>
          <w:i/>
          <w:sz w:val="24"/>
          <w:szCs w:val="24"/>
        </w:rPr>
        <w:t xml:space="preserve">primární prevence, léčba a resocializace, snižování rizik, </w:t>
      </w:r>
      <w:r w:rsidR="00594BDD">
        <w:rPr>
          <w:rFonts w:ascii="Arial" w:hAnsi="Arial" w:cs="Arial"/>
          <w:b/>
          <w:i/>
          <w:sz w:val="24"/>
          <w:szCs w:val="24"/>
        </w:rPr>
        <w:t>s</w:t>
      </w:r>
      <w:r w:rsidRPr="00594BDD">
        <w:rPr>
          <w:rFonts w:ascii="Arial" w:hAnsi="Arial" w:cs="Arial"/>
          <w:b/>
          <w:i/>
          <w:sz w:val="24"/>
          <w:szCs w:val="24"/>
        </w:rPr>
        <w:t>nižování dostupnosti drog</w:t>
      </w:r>
      <w:r w:rsidRPr="00594BDD">
        <w:rPr>
          <w:rFonts w:ascii="Arial" w:hAnsi="Arial" w:cs="Arial"/>
          <w:i/>
          <w:sz w:val="24"/>
          <w:szCs w:val="24"/>
        </w:rPr>
        <w:t>.</w:t>
      </w:r>
      <w:r w:rsidR="00594BDD">
        <w:rPr>
          <w:rFonts w:ascii="Arial" w:hAnsi="Arial" w:cs="Arial"/>
          <w:i/>
          <w:sz w:val="24"/>
          <w:szCs w:val="24"/>
        </w:rPr>
        <w:t>“</w:t>
      </w:r>
    </w:p>
    <w:p w:rsidR="00594BDD" w:rsidRDefault="00594BDD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D398A" w:rsidRDefault="009A5962" w:rsidP="00A42921">
      <w:pPr>
        <w:pStyle w:val="Nadpis2"/>
        <w:spacing w:line="360" w:lineRule="auto"/>
      </w:pPr>
      <w:bookmarkStart w:id="4" w:name="_Toc433703495"/>
      <w:r>
        <w:t xml:space="preserve">2. </w:t>
      </w:r>
      <w:r w:rsidR="00AD398A">
        <w:t>Priority</w:t>
      </w:r>
      <w:r w:rsidR="00172A4D">
        <w:t xml:space="preserve"> protidrogové politiky na MČ Praha 9</w:t>
      </w:r>
      <w:bookmarkEnd w:id="4"/>
    </w:p>
    <w:p w:rsidR="00AD398A" w:rsidRDefault="00617309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úrovni Městské části Praha 9 a v rámci tohoto dokumentu považujeme za priorit</w:t>
      </w:r>
      <w:r w:rsidR="00AD398A">
        <w:rPr>
          <w:rFonts w:ascii="Arial" w:hAnsi="Arial" w:cs="Arial"/>
          <w:sz w:val="24"/>
          <w:szCs w:val="24"/>
        </w:rPr>
        <w:t>u realizaci aktivit ve dvou oblastech:</w:t>
      </w:r>
    </w:p>
    <w:p w:rsidR="00BB72E7" w:rsidRDefault="00BB72E7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398A" w:rsidRDefault="00AD398A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AD398A">
        <w:rPr>
          <w:rFonts w:ascii="Arial" w:hAnsi="Arial" w:cs="Arial"/>
          <w:b/>
          <w:sz w:val="24"/>
          <w:szCs w:val="24"/>
        </w:rPr>
        <w:t>primární prevence pro žáky základních a středních škol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D398A" w:rsidRDefault="00AD398A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AD398A">
        <w:rPr>
          <w:rFonts w:ascii="Arial" w:hAnsi="Arial" w:cs="Arial"/>
          <w:b/>
          <w:sz w:val="24"/>
          <w:szCs w:val="24"/>
        </w:rPr>
        <w:t>snižování rizik spojených s užíváním OPL</w:t>
      </w:r>
    </w:p>
    <w:p w:rsidR="00172A4D" w:rsidRDefault="00172A4D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398A" w:rsidRDefault="00604A9F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72A4D">
        <w:rPr>
          <w:rFonts w:ascii="Arial" w:hAnsi="Arial" w:cs="Arial"/>
          <w:sz w:val="24"/>
          <w:szCs w:val="24"/>
        </w:rPr>
        <w:t>alší dva pilíře protidrogové politiky</w:t>
      </w:r>
      <w:r>
        <w:rPr>
          <w:rFonts w:ascii="Arial" w:hAnsi="Arial" w:cs="Arial"/>
          <w:sz w:val="24"/>
          <w:szCs w:val="24"/>
        </w:rPr>
        <w:t xml:space="preserve"> uvedené v předchozím odstavci</w:t>
      </w:r>
      <w:r w:rsidR="00172A4D">
        <w:rPr>
          <w:rFonts w:ascii="Arial" w:hAnsi="Arial" w:cs="Arial"/>
          <w:sz w:val="24"/>
          <w:szCs w:val="24"/>
        </w:rPr>
        <w:t>, tj. snižování nabídky drog a léčb</w:t>
      </w:r>
      <w:r>
        <w:rPr>
          <w:rFonts w:ascii="Arial" w:hAnsi="Arial" w:cs="Arial"/>
          <w:sz w:val="24"/>
          <w:szCs w:val="24"/>
        </w:rPr>
        <w:t>u</w:t>
      </w:r>
      <w:r w:rsidR="00172A4D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 </w:t>
      </w:r>
      <w:r w:rsidR="00172A4D">
        <w:rPr>
          <w:rFonts w:ascii="Arial" w:hAnsi="Arial" w:cs="Arial"/>
          <w:sz w:val="24"/>
          <w:szCs w:val="24"/>
        </w:rPr>
        <w:t>resocializací</w:t>
      </w:r>
      <w:r>
        <w:rPr>
          <w:rFonts w:ascii="Arial" w:hAnsi="Arial" w:cs="Arial"/>
          <w:sz w:val="24"/>
          <w:szCs w:val="24"/>
        </w:rPr>
        <w:t>,</w:t>
      </w:r>
      <w:r w:rsidR="00172A4D">
        <w:rPr>
          <w:rFonts w:ascii="Arial" w:hAnsi="Arial" w:cs="Arial"/>
          <w:sz w:val="24"/>
          <w:szCs w:val="24"/>
        </w:rPr>
        <w:t xml:space="preserve"> považujeme za důležité, nezahrnujeme je však mezi hlavní priority tohoto akčního plánu. Strategie </w:t>
      </w:r>
      <w:r w:rsidR="00172A4D" w:rsidRPr="00604A9F">
        <w:rPr>
          <w:rFonts w:ascii="Arial" w:hAnsi="Arial" w:cs="Arial"/>
          <w:b/>
          <w:i/>
          <w:sz w:val="24"/>
          <w:szCs w:val="24"/>
        </w:rPr>
        <w:t>snižování nabídk</w:t>
      </w:r>
      <w:r>
        <w:rPr>
          <w:rFonts w:ascii="Arial" w:hAnsi="Arial" w:cs="Arial"/>
          <w:b/>
          <w:i/>
          <w:sz w:val="24"/>
          <w:szCs w:val="24"/>
        </w:rPr>
        <w:t>y</w:t>
      </w:r>
      <w:r w:rsidR="00172A4D" w:rsidRPr="00604A9F">
        <w:rPr>
          <w:rFonts w:ascii="Arial" w:hAnsi="Arial" w:cs="Arial"/>
          <w:b/>
          <w:i/>
          <w:sz w:val="24"/>
          <w:szCs w:val="24"/>
        </w:rPr>
        <w:t xml:space="preserve"> drog</w:t>
      </w:r>
      <w:r w:rsidR="00172A4D">
        <w:rPr>
          <w:rFonts w:ascii="Arial" w:hAnsi="Arial" w:cs="Arial"/>
          <w:sz w:val="24"/>
          <w:szCs w:val="24"/>
        </w:rPr>
        <w:t xml:space="preserve"> bude podrobněji řešena v plánované </w:t>
      </w:r>
      <w:r>
        <w:rPr>
          <w:rFonts w:ascii="Arial" w:hAnsi="Arial" w:cs="Arial"/>
          <w:sz w:val="24"/>
          <w:szCs w:val="24"/>
        </w:rPr>
        <w:t xml:space="preserve">dlouhodobé </w:t>
      </w:r>
      <w:r w:rsidR="00172A4D">
        <w:rPr>
          <w:rFonts w:ascii="Arial" w:hAnsi="Arial" w:cs="Arial"/>
          <w:sz w:val="24"/>
          <w:szCs w:val="24"/>
        </w:rPr>
        <w:t xml:space="preserve">koncepci protidrogové politiky. V této oblasti jsou možnosti Městské části </w:t>
      </w:r>
      <w:r w:rsidR="005D2F14">
        <w:rPr>
          <w:rFonts w:ascii="Arial" w:hAnsi="Arial" w:cs="Arial"/>
          <w:sz w:val="24"/>
          <w:szCs w:val="24"/>
        </w:rPr>
        <w:t xml:space="preserve">Praha 9 </w:t>
      </w:r>
      <w:r w:rsidR="00172A4D">
        <w:rPr>
          <w:rFonts w:ascii="Arial" w:hAnsi="Arial" w:cs="Arial"/>
          <w:sz w:val="24"/>
          <w:szCs w:val="24"/>
        </w:rPr>
        <w:t>omezené</w:t>
      </w:r>
      <w:r>
        <w:rPr>
          <w:rFonts w:ascii="Arial" w:hAnsi="Arial" w:cs="Arial"/>
          <w:sz w:val="24"/>
          <w:szCs w:val="24"/>
        </w:rPr>
        <w:t>, je nutný mezirezortní přístup. Bude nutno dojednat formy spolupráce s Policií ČR, Městskou policií HMP, případně s dalšími organiza</w:t>
      </w:r>
      <w:r w:rsidR="00B978B2">
        <w:rPr>
          <w:rFonts w:ascii="Arial" w:hAnsi="Arial" w:cs="Arial"/>
          <w:sz w:val="24"/>
          <w:szCs w:val="24"/>
        </w:rPr>
        <w:t>cemi (Probační a mediační službou</w:t>
      </w:r>
      <w:r>
        <w:rPr>
          <w:rFonts w:ascii="Arial" w:hAnsi="Arial" w:cs="Arial"/>
          <w:sz w:val="24"/>
          <w:szCs w:val="24"/>
        </w:rPr>
        <w:t xml:space="preserve"> apod.). Současně bude </w:t>
      </w:r>
      <w:r>
        <w:rPr>
          <w:rFonts w:ascii="Arial" w:hAnsi="Arial" w:cs="Arial"/>
          <w:sz w:val="24"/>
          <w:szCs w:val="24"/>
        </w:rPr>
        <w:lastRenderedPageBreak/>
        <w:t>důležité nastavení spolupráce mezi jednotlivými odbory ÚMČ Praha 9. Konkrétně mezi Odborem sociálním, který má převážnou část protidrogové politiky v náplni své činnosti, Odborem živnostenským (kontrola prodeje alkoholu a tabáku), Odbor</w:t>
      </w:r>
      <w:r w:rsidR="00096339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životního prostředí a dopravy</w:t>
      </w:r>
      <w:r w:rsidR="00096339">
        <w:rPr>
          <w:rFonts w:ascii="Arial" w:hAnsi="Arial" w:cs="Arial"/>
          <w:sz w:val="24"/>
          <w:szCs w:val="24"/>
        </w:rPr>
        <w:t xml:space="preserve">, Odborem školství a evropských fondů (spolupráce se školami), Odborem občansko správním (přestupky na úseku drog a alkoholu) a </w:t>
      </w:r>
      <w:r w:rsidR="00A21A25">
        <w:rPr>
          <w:rFonts w:ascii="Arial" w:hAnsi="Arial" w:cs="Arial"/>
          <w:sz w:val="24"/>
          <w:szCs w:val="24"/>
        </w:rPr>
        <w:t xml:space="preserve">KST – oddělením kultury, mládeže a tělovýchovy (nespecifická prevence). </w:t>
      </w:r>
    </w:p>
    <w:p w:rsidR="00A21A25" w:rsidRPr="00172A4D" w:rsidRDefault="00A21A25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Podpora </w:t>
      </w:r>
      <w:r w:rsidRPr="00A21A25">
        <w:rPr>
          <w:rFonts w:ascii="Arial" w:hAnsi="Arial" w:cs="Arial"/>
          <w:b/>
          <w:i/>
          <w:sz w:val="24"/>
          <w:szCs w:val="24"/>
        </w:rPr>
        <w:t>léčby a resocializace</w:t>
      </w:r>
      <w:r>
        <w:rPr>
          <w:rFonts w:ascii="Arial" w:hAnsi="Arial" w:cs="Arial"/>
          <w:sz w:val="24"/>
          <w:szCs w:val="24"/>
        </w:rPr>
        <w:t xml:space="preserve"> je realizována prostřednictvím grantového řízení MČ Praha 9, do něhož se mohou přihlásit poskytovatelé tohoto typu služeb.</w:t>
      </w:r>
      <w:r w:rsidR="0041567A">
        <w:rPr>
          <w:rFonts w:ascii="Arial" w:hAnsi="Arial" w:cs="Arial"/>
          <w:sz w:val="24"/>
          <w:szCs w:val="24"/>
        </w:rPr>
        <w:t xml:space="preserve"> Na resocializaci bývalých i současných uživatelů OPL se dále podílí pracovníci z oddělení sociální péče a prevence poskytováním odborného sociálního poradenství a dalšími aktivitami – zejm. sociální kurátor (pro dospělé) a koordinátor protidrogové prevence.  </w:t>
      </w:r>
    </w:p>
    <w:p w:rsidR="00C65105" w:rsidRPr="009A5962" w:rsidRDefault="009A5962" w:rsidP="00A42921">
      <w:pPr>
        <w:pStyle w:val="Nadpis2"/>
        <w:spacing w:line="360" w:lineRule="auto"/>
        <w:rPr>
          <w:i/>
        </w:rPr>
      </w:pPr>
      <w:bookmarkStart w:id="5" w:name="_Toc433703496"/>
      <w:r w:rsidRPr="009A5962">
        <w:rPr>
          <w:i/>
        </w:rPr>
        <w:t xml:space="preserve">2.1 </w:t>
      </w:r>
      <w:r w:rsidR="00C65105" w:rsidRPr="009A5962">
        <w:rPr>
          <w:i/>
        </w:rPr>
        <w:t>Primární prevence pro žáky základních a středních škol</w:t>
      </w:r>
      <w:bookmarkEnd w:id="5"/>
      <w:r w:rsidR="00C65105" w:rsidRPr="009A5962">
        <w:rPr>
          <w:i/>
        </w:rPr>
        <w:t xml:space="preserve"> </w:t>
      </w:r>
    </w:p>
    <w:p w:rsidR="00AB7B0B" w:rsidRPr="00AB7B0B" w:rsidRDefault="00AB7B0B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B7B0B">
        <w:rPr>
          <w:rFonts w:ascii="Arial" w:hAnsi="Arial" w:cs="Arial"/>
          <w:sz w:val="24"/>
          <w:szCs w:val="24"/>
        </w:rPr>
        <w:t>Primární prevence rizikového chování u žáků se zaměřuje prioritně na předcházení rozvoje rizik, které směřují zejména k následujícím rizikovým projevům v chování dětí a mládeže</w:t>
      </w:r>
      <w:r>
        <w:rPr>
          <w:rFonts w:ascii="Arial" w:hAnsi="Arial" w:cs="Arial"/>
          <w:sz w:val="24"/>
          <w:szCs w:val="24"/>
        </w:rPr>
        <w:t xml:space="preserve"> </w:t>
      </w:r>
      <w:r w:rsidRPr="00AB7B0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dle </w:t>
      </w:r>
      <w:r w:rsidRPr="00AB7B0B">
        <w:rPr>
          <w:rFonts w:ascii="Arial" w:hAnsi="Arial" w:cs="Arial"/>
          <w:i/>
          <w:sz w:val="24"/>
          <w:szCs w:val="24"/>
        </w:rPr>
        <w:t>Národní strategie PPRCH dětí a mládeže na období 2013 – 2018 přijaté MŠMT – bod</w:t>
      </w:r>
      <w:r>
        <w:rPr>
          <w:rFonts w:ascii="Arial" w:hAnsi="Arial" w:cs="Arial"/>
          <w:i/>
          <w:sz w:val="24"/>
          <w:szCs w:val="24"/>
        </w:rPr>
        <w:t>y</w:t>
      </w:r>
      <w:r w:rsidRPr="00AB7B0B">
        <w:rPr>
          <w:rFonts w:ascii="Arial" w:hAnsi="Arial" w:cs="Arial"/>
          <w:i/>
          <w:sz w:val="24"/>
          <w:szCs w:val="24"/>
        </w:rPr>
        <w:t xml:space="preserve"> 2.</w:t>
      </w:r>
      <w:r>
        <w:rPr>
          <w:rFonts w:ascii="Arial" w:hAnsi="Arial" w:cs="Arial"/>
          <w:i/>
          <w:sz w:val="24"/>
          <w:szCs w:val="24"/>
        </w:rPr>
        <w:t>2 a 2.3</w:t>
      </w:r>
      <w:r w:rsidRPr="00AB7B0B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AB7B0B" w:rsidRPr="00AB7B0B" w:rsidRDefault="00AB7B0B" w:rsidP="00A4292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B7B0B">
        <w:rPr>
          <w:rFonts w:ascii="Arial" w:hAnsi="Arial" w:cs="Arial"/>
          <w:i/>
          <w:sz w:val="24"/>
          <w:szCs w:val="24"/>
        </w:rPr>
        <w:t xml:space="preserve">Základní charakteristikou efektivní primární prevence rizikového </w:t>
      </w:r>
      <w:r w:rsidR="00BB72E7">
        <w:rPr>
          <w:rFonts w:ascii="Arial" w:hAnsi="Arial" w:cs="Arial"/>
          <w:i/>
          <w:sz w:val="24"/>
          <w:szCs w:val="24"/>
        </w:rPr>
        <w:t xml:space="preserve">chování </w:t>
      </w:r>
      <w:r w:rsidRPr="00AB7B0B">
        <w:rPr>
          <w:rFonts w:ascii="Arial" w:hAnsi="Arial" w:cs="Arial"/>
          <w:i/>
          <w:sz w:val="24"/>
          <w:szCs w:val="24"/>
        </w:rPr>
        <w:t>je dlouhodobá a kontinuální práce s dětmi a mládeží, která je prováděna v menších skupinách a za aktivní účasti cílové skupiny. Specifickou primární prevenci lze rozdělit podle cílové skupiny, intenzity programu, podle prostředků a nástrojů, které program využívá a na jaké úrovni je zapojení cílové skupiny, a to do tří úrovní:</w:t>
      </w:r>
    </w:p>
    <w:p w:rsidR="00AB7B0B" w:rsidRPr="00AB7B0B" w:rsidRDefault="00AB7B0B" w:rsidP="00A42921">
      <w:pPr>
        <w:pStyle w:val="Seznamsodrkami"/>
        <w:numPr>
          <w:ilvl w:val="0"/>
          <w:numId w:val="6"/>
        </w:numPr>
        <w:spacing w:before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B7B0B">
        <w:rPr>
          <w:rFonts w:ascii="Arial" w:hAnsi="Arial" w:cs="Arial"/>
          <w:b/>
          <w:i/>
          <w:sz w:val="24"/>
          <w:szCs w:val="24"/>
        </w:rPr>
        <w:t>Všeobecná primární prevence</w:t>
      </w:r>
      <w:r w:rsidRPr="00AB7B0B">
        <w:rPr>
          <w:rFonts w:ascii="Arial" w:hAnsi="Arial" w:cs="Arial"/>
          <w:i/>
          <w:sz w:val="24"/>
          <w:szCs w:val="24"/>
        </w:rPr>
        <w:t xml:space="preserve"> – se zaměřuje na běžnou populaci dětí a mládeže, zohledňuje pouze věková kriteria. Jedná se většinou o programy pro větší počet účastníků (obvykle třída, skupiny do 30 účastníků).</w:t>
      </w:r>
    </w:p>
    <w:p w:rsidR="00AB7B0B" w:rsidRPr="00AB7B0B" w:rsidRDefault="00AB7B0B" w:rsidP="00A42921">
      <w:pPr>
        <w:pStyle w:val="Seznamsodrkami"/>
        <w:numPr>
          <w:ilvl w:val="0"/>
          <w:numId w:val="6"/>
        </w:numPr>
        <w:spacing w:before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B7B0B">
        <w:rPr>
          <w:rFonts w:ascii="Arial" w:hAnsi="Arial" w:cs="Arial"/>
          <w:b/>
          <w:i/>
          <w:sz w:val="24"/>
          <w:szCs w:val="24"/>
        </w:rPr>
        <w:t>Selektivní primární prevence</w:t>
      </w:r>
      <w:r w:rsidRPr="00AB7B0B">
        <w:rPr>
          <w:rFonts w:ascii="Arial" w:hAnsi="Arial" w:cs="Arial"/>
          <w:i/>
          <w:sz w:val="24"/>
          <w:szCs w:val="24"/>
        </w:rPr>
        <w:t xml:space="preserve"> – se zaměřuje na skupiny osob, u kterých jsou ve zvýšené míře přítomny rizikové faktory pro vznik a vývoj různých forem rizikového chování a jsou většinou více ohrožené než jiné skupiny populace. Pracujeme zde s menšími skupinami, případně i jednotlivci.</w:t>
      </w:r>
    </w:p>
    <w:p w:rsidR="00AB7B0B" w:rsidRDefault="00AB7B0B" w:rsidP="00A42921">
      <w:pPr>
        <w:pStyle w:val="Seznamsodrkami"/>
        <w:numPr>
          <w:ilvl w:val="0"/>
          <w:numId w:val="6"/>
        </w:numPr>
        <w:spacing w:before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B7B0B">
        <w:rPr>
          <w:rFonts w:ascii="Arial" w:hAnsi="Arial" w:cs="Arial"/>
          <w:b/>
          <w:i/>
          <w:sz w:val="24"/>
          <w:szCs w:val="24"/>
        </w:rPr>
        <w:t>Indikovaná primární prevence</w:t>
      </w:r>
      <w:r w:rsidRPr="00AB7B0B">
        <w:rPr>
          <w:rFonts w:ascii="Arial" w:hAnsi="Arial" w:cs="Arial"/>
          <w:i/>
          <w:sz w:val="24"/>
          <w:szCs w:val="24"/>
        </w:rPr>
        <w:t xml:space="preserve"> – je zaměřena na jedince, u kterých se již vyskytly projevy rizikového chování. Jedná se o práci s populací s výrazně zvýšeným rizikem výskytu či počínajících projevů rizikového chování. Jedná se o individuální práci s klientem.</w:t>
      </w:r>
    </w:p>
    <w:p w:rsidR="00725307" w:rsidRDefault="00725307" w:rsidP="00A42921">
      <w:pPr>
        <w:pStyle w:val="Seznamsodrkami"/>
        <w:numPr>
          <w:ilvl w:val="0"/>
          <w:numId w:val="0"/>
        </w:numPr>
        <w:spacing w:before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25307" w:rsidRPr="00725307" w:rsidRDefault="00725307" w:rsidP="00A42921">
      <w:pPr>
        <w:pStyle w:val="Seznamsodrkami"/>
        <w:numPr>
          <w:ilvl w:val="0"/>
          <w:numId w:val="0"/>
        </w:numPr>
        <w:spacing w:before="0" w:line="360" w:lineRule="auto"/>
        <w:jc w:val="both"/>
        <w:rPr>
          <w:rFonts w:ascii="Arial" w:hAnsi="Arial" w:cs="Arial"/>
          <w:sz w:val="24"/>
          <w:szCs w:val="24"/>
        </w:rPr>
      </w:pPr>
      <w:r w:rsidRPr="00725307">
        <w:rPr>
          <w:rFonts w:ascii="Arial" w:hAnsi="Arial" w:cs="Arial"/>
          <w:sz w:val="24"/>
          <w:szCs w:val="24"/>
        </w:rPr>
        <w:t xml:space="preserve">Specifická primární prevence </w:t>
      </w:r>
      <w:r>
        <w:rPr>
          <w:rFonts w:ascii="Arial" w:hAnsi="Arial" w:cs="Arial"/>
          <w:sz w:val="24"/>
          <w:szCs w:val="24"/>
        </w:rPr>
        <w:t xml:space="preserve">pro cílovou skupinu dětí a mládeže </w:t>
      </w:r>
      <w:r w:rsidRPr="00725307">
        <w:rPr>
          <w:rFonts w:ascii="Arial" w:hAnsi="Arial" w:cs="Arial"/>
          <w:sz w:val="24"/>
          <w:szCs w:val="24"/>
        </w:rPr>
        <w:t>se nezabývá pouze užíváním návykových látek</w:t>
      </w:r>
      <w:r>
        <w:rPr>
          <w:rFonts w:ascii="Arial" w:hAnsi="Arial" w:cs="Arial"/>
          <w:sz w:val="24"/>
          <w:szCs w:val="24"/>
        </w:rPr>
        <w:t xml:space="preserve">. Snaží se postihovat i další formy rizikového chování: </w:t>
      </w:r>
      <w:r w:rsidRPr="00725307">
        <w:rPr>
          <w:rFonts w:ascii="Arial" w:hAnsi="Arial" w:cs="Arial"/>
          <w:sz w:val="24"/>
          <w:szCs w:val="24"/>
        </w:rPr>
        <w:t xml:space="preserve">  </w:t>
      </w:r>
    </w:p>
    <w:p w:rsidR="00725307" w:rsidRDefault="00AD398A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398A">
        <w:rPr>
          <w:rFonts w:ascii="Arial" w:hAnsi="Arial" w:cs="Arial"/>
          <w:b/>
          <w:i/>
          <w:sz w:val="24"/>
          <w:szCs w:val="24"/>
        </w:rPr>
        <w:t>Interpersonální agresivní chování</w:t>
      </w:r>
      <w:r w:rsidRPr="00AD398A">
        <w:rPr>
          <w:rFonts w:ascii="Arial" w:hAnsi="Arial" w:cs="Arial"/>
          <w:b/>
          <w:sz w:val="24"/>
          <w:szCs w:val="24"/>
        </w:rPr>
        <w:t xml:space="preserve"> </w:t>
      </w:r>
      <w:r w:rsidRPr="00172A4D">
        <w:rPr>
          <w:rFonts w:ascii="Arial" w:hAnsi="Arial" w:cs="Arial"/>
          <w:sz w:val="24"/>
          <w:szCs w:val="24"/>
        </w:rPr>
        <w:t>- agrese, šikana, kyberšikana a další rizikové formy komunikace prostřednictvím multimedií, násilí, intolerance, antisemitismus, extremismus, rasismus a xenofobie</w:t>
      </w:r>
    </w:p>
    <w:p w:rsidR="00AD398A" w:rsidRPr="00172A4D" w:rsidRDefault="00AD398A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398A">
        <w:rPr>
          <w:rFonts w:ascii="Arial" w:hAnsi="Arial" w:cs="Arial"/>
          <w:b/>
          <w:i/>
          <w:sz w:val="24"/>
          <w:szCs w:val="24"/>
        </w:rPr>
        <w:t>Delikventní chování</w:t>
      </w:r>
      <w:r w:rsidRPr="00AD398A">
        <w:rPr>
          <w:rFonts w:ascii="Arial" w:hAnsi="Arial" w:cs="Arial"/>
          <w:b/>
          <w:sz w:val="24"/>
          <w:szCs w:val="24"/>
        </w:rPr>
        <w:t xml:space="preserve"> ve vztahu k hmotným statkům </w:t>
      </w:r>
      <w:r w:rsidRPr="00172A4D">
        <w:rPr>
          <w:rFonts w:ascii="Arial" w:hAnsi="Arial" w:cs="Arial"/>
          <w:sz w:val="24"/>
          <w:szCs w:val="24"/>
        </w:rPr>
        <w:t>– vandalismus, krádeže, sprejerství a další trestné činy a přečiny</w:t>
      </w:r>
    </w:p>
    <w:p w:rsidR="00AD398A" w:rsidRPr="00172A4D" w:rsidRDefault="00AD398A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398A">
        <w:rPr>
          <w:rFonts w:ascii="Arial" w:hAnsi="Arial" w:cs="Arial"/>
          <w:b/>
          <w:i/>
          <w:sz w:val="24"/>
          <w:szCs w:val="24"/>
        </w:rPr>
        <w:t xml:space="preserve">Záškoláctví </w:t>
      </w:r>
      <w:r w:rsidRPr="00172A4D">
        <w:rPr>
          <w:rFonts w:ascii="Arial" w:hAnsi="Arial" w:cs="Arial"/>
          <w:sz w:val="24"/>
          <w:szCs w:val="24"/>
        </w:rPr>
        <w:t>a neplnění školních povinností</w:t>
      </w:r>
    </w:p>
    <w:p w:rsidR="00AD398A" w:rsidRPr="00172A4D" w:rsidRDefault="00AD398A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398A">
        <w:rPr>
          <w:rFonts w:ascii="Arial" w:hAnsi="Arial" w:cs="Arial"/>
          <w:b/>
          <w:i/>
          <w:sz w:val="24"/>
          <w:szCs w:val="24"/>
        </w:rPr>
        <w:t>Závislostní chování</w:t>
      </w:r>
      <w:r w:rsidRPr="00AD398A">
        <w:rPr>
          <w:rFonts w:ascii="Arial" w:hAnsi="Arial" w:cs="Arial"/>
          <w:b/>
          <w:sz w:val="24"/>
          <w:szCs w:val="24"/>
        </w:rPr>
        <w:t xml:space="preserve"> </w:t>
      </w:r>
      <w:r w:rsidRPr="00172A4D">
        <w:rPr>
          <w:rFonts w:ascii="Arial" w:hAnsi="Arial" w:cs="Arial"/>
          <w:sz w:val="24"/>
          <w:szCs w:val="24"/>
        </w:rPr>
        <w:t>- užívání všech návykových látek, netolismus, gambling</w:t>
      </w:r>
    </w:p>
    <w:p w:rsidR="00AD398A" w:rsidRPr="00AD398A" w:rsidRDefault="00AD398A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398A">
        <w:rPr>
          <w:rFonts w:ascii="Arial" w:hAnsi="Arial" w:cs="Arial"/>
          <w:b/>
          <w:i/>
          <w:sz w:val="24"/>
          <w:szCs w:val="24"/>
        </w:rPr>
        <w:t>Rizikové sportovní aktivity, prevence úrazů</w:t>
      </w:r>
    </w:p>
    <w:p w:rsidR="00AD398A" w:rsidRPr="00AD398A" w:rsidRDefault="00AD398A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398A">
        <w:rPr>
          <w:rFonts w:ascii="Arial" w:hAnsi="Arial" w:cs="Arial"/>
          <w:b/>
          <w:i/>
          <w:sz w:val="24"/>
          <w:szCs w:val="24"/>
        </w:rPr>
        <w:t>Rizikové chování v dopravě, prevence úrazů</w:t>
      </w:r>
    </w:p>
    <w:p w:rsidR="00AD398A" w:rsidRPr="00AD398A" w:rsidRDefault="00AD398A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398A">
        <w:rPr>
          <w:rFonts w:ascii="Arial" w:hAnsi="Arial" w:cs="Arial"/>
          <w:b/>
          <w:i/>
          <w:sz w:val="24"/>
          <w:szCs w:val="24"/>
        </w:rPr>
        <w:t>Spektrum poruch příjmu potravy</w:t>
      </w:r>
    </w:p>
    <w:p w:rsidR="00AD398A" w:rsidRPr="00AD398A" w:rsidRDefault="00AD398A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398A">
        <w:rPr>
          <w:rFonts w:ascii="Arial" w:hAnsi="Arial" w:cs="Arial"/>
          <w:b/>
          <w:i/>
          <w:sz w:val="24"/>
          <w:szCs w:val="24"/>
        </w:rPr>
        <w:t>Negativní působení sekt</w:t>
      </w:r>
    </w:p>
    <w:p w:rsidR="00AD398A" w:rsidRDefault="00AD398A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D398A">
        <w:rPr>
          <w:rFonts w:ascii="Arial" w:hAnsi="Arial" w:cs="Arial"/>
          <w:b/>
          <w:i/>
          <w:sz w:val="24"/>
          <w:szCs w:val="24"/>
        </w:rPr>
        <w:t>Sexuální rizikové chování</w:t>
      </w:r>
    </w:p>
    <w:p w:rsidR="009A5962" w:rsidRDefault="009A5962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61CE8" w:rsidRDefault="00134448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Primární prevence je realizována po dohodě se školami (školními metodiky prevence). Podpořené aktivity jsou součástí minimálního preventivního plánu, který každá škola zpracová</w:t>
      </w:r>
      <w:r w:rsidR="00655988">
        <w:rPr>
          <w:rFonts w:ascii="Arial" w:hAnsi="Arial" w:cs="Arial"/>
          <w:sz w:val="24"/>
          <w:szCs w:val="24"/>
        </w:rPr>
        <w:t>vá podle svých potřeb</w:t>
      </w:r>
      <w:r>
        <w:rPr>
          <w:rFonts w:ascii="Arial" w:hAnsi="Arial" w:cs="Arial"/>
          <w:sz w:val="24"/>
          <w:szCs w:val="24"/>
        </w:rPr>
        <w:t xml:space="preserve"> </w:t>
      </w:r>
      <w:r w:rsidR="00655988">
        <w:rPr>
          <w:rFonts w:ascii="Arial" w:hAnsi="Arial" w:cs="Arial"/>
          <w:sz w:val="24"/>
          <w:szCs w:val="24"/>
        </w:rPr>
        <w:t xml:space="preserve">(dokument MPP je možno dohledat na webových stránkách škol). S ohledem na omezené finanční prostředky je upřednostněna realizace primární prevence na základních školách zřizovaných Městskou částí Praha 9 a na středních školách učňovského typu, kde je možnost výskytu rizikového chování vyšší (převážně chlapecké kolektivy, větší procento cizinců, žáci ze sociálně slabých rodin apod.). </w:t>
      </w:r>
    </w:p>
    <w:p w:rsidR="009A5962" w:rsidRDefault="00655988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Kromě </w:t>
      </w:r>
      <w:r w:rsidR="00961CE8">
        <w:rPr>
          <w:rFonts w:ascii="Arial" w:hAnsi="Arial" w:cs="Arial"/>
          <w:sz w:val="24"/>
          <w:szCs w:val="24"/>
        </w:rPr>
        <w:t xml:space="preserve">preventivních aktivit, jež se týkají některého z výše uvedených sociálně patologických jevů, jsou podporovány i </w:t>
      </w:r>
      <w:r>
        <w:rPr>
          <w:rFonts w:ascii="Arial" w:hAnsi="Arial" w:cs="Arial"/>
          <w:sz w:val="24"/>
          <w:szCs w:val="24"/>
        </w:rPr>
        <w:t xml:space="preserve">adaptační kurzy/výjezdy u žáků 6. tříd </w:t>
      </w:r>
      <w:r w:rsidR="00961CE8">
        <w:rPr>
          <w:rFonts w:ascii="Arial" w:hAnsi="Arial" w:cs="Arial"/>
          <w:sz w:val="24"/>
          <w:szCs w:val="24"/>
        </w:rPr>
        <w:t xml:space="preserve">ZŠ </w:t>
      </w:r>
      <w:r>
        <w:rPr>
          <w:rFonts w:ascii="Arial" w:hAnsi="Arial" w:cs="Arial"/>
          <w:sz w:val="24"/>
          <w:szCs w:val="24"/>
        </w:rPr>
        <w:t xml:space="preserve">a </w:t>
      </w:r>
      <w:r w:rsidR="00961CE8">
        <w:rPr>
          <w:rFonts w:ascii="Arial" w:hAnsi="Arial" w:cs="Arial"/>
          <w:sz w:val="24"/>
          <w:szCs w:val="24"/>
        </w:rPr>
        <w:t>1. ročníků SŠ. Zlepšení vztahů v třídních kolektivech považujeme za účinn</w:t>
      </w:r>
      <w:r w:rsidR="00590732">
        <w:rPr>
          <w:rFonts w:ascii="Arial" w:hAnsi="Arial" w:cs="Arial"/>
          <w:sz w:val="24"/>
          <w:szCs w:val="24"/>
        </w:rPr>
        <w:t>ý nástroj, jak předcházet rizikovému a sociálně patologickému chování (šikana, násilí, záškoláctví apod.)</w:t>
      </w:r>
      <w:r w:rsidR="00961CE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43C24" w:rsidRPr="009A5962" w:rsidRDefault="00843C24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398A" w:rsidRPr="009A5962" w:rsidRDefault="009A5962" w:rsidP="00A42921">
      <w:pPr>
        <w:pStyle w:val="Nadpis2"/>
        <w:spacing w:line="360" w:lineRule="auto"/>
        <w:rPr>
          <w:i/>
        </w:rPr>
      </w:pPr>
      <w:bookmarkStart w:id="6" w:name="_Toc433703497"/>
      <w:r w:rsidRPr="009A5962">
        <w:rPr>
          <w:i/>
        </w:rPr>
        <w:t xml:space="preserve">2.2 </w:t>
      </w:r>
      <w:r w:rsidR="00C65105" w:rsidRPr="009A5962">
        <w:rPr>
          <w:i/>
        </w:rPr>
        <w:t xml:space="preserve">Snižování rizik spojených s užíváním OPL </w:t>
      </w:r>
      <w:r w:rsidR="00AD398A" w:rsidRPr="009A5962">
        <w:rPr>
          <w:i/>
        </w:rPr>
        <w:t xml:space="preserve">– </w:t>
      </w:r>
      <w:r w:rsidR="00BB72E7" w:rsidRPr="009A5962">
        <w:rPr>
          <w:i/>
        </w:rPr>
        <w:t>terciární prevence</w:t>
      </w:r>
      <w:bookmarkEnd w:id="6"/>
    </w:p>
    <w:p w:rsidR="00725307" w:rsidRDefault="00725307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7C83" w:rsidRDefault="00D37C83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Druhou prioritou </w:t>
      </w:r>
      <w:r w:rsidR="00134448">
        <w:rPr>
          <w:rFonts w:ascii="Arial" w:hAnsi="Arial" w:cs="Arial"/>
          <w:sz w:val="24"/>
          <w:szCs w:val="24"/>
        </w:rPr>
        <w:t xml:space="preserve">při realizaci protidrogové politiky na MČ Praha 9 je snižování rizik vyplývajících z užívání drog.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B72E7" w:rsidRPr="00BB72E7" w:rsidRDefault="00BB72E7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4448">
        <w:rPr>
          <w:rFonts w:ascii="Arial" w:hAnsi="Arial" w:cs="Arial"/>
          <w:b/>
          <w:sz w:val="24"/>
          <w:szCs w:val="24"/>
        </w:rPr>
        <w:t>Terénní program</w:t>
      </w:r>
      <w:r w:rsidRPr="00BB72E7">
        <w:rPr>
          <w:rFonts w:ascii="Arial" w:hAnsi="Arial" w:cs="Arial"/>
          <w:sz w:val="24"/>
          <w:szCs w:val="24"/>
        </w:rPr>
        <w:t xml:space="preserve"> pro rizikové uživatele OPL je na MČ Praha 9 realizován v souladu s cíli Akčního plánu protidrogové politiky hlavního města Prahy na období 2014 – 2016 (</w:t>
      </w:r>
      <w:r w:rsidRPr="00725307">
        <w:rPr>
          <w:rFonts w:ascii="Arial" w:hAnsi="Arial" w:cs="Arial"/>
          <w:i/>
          <w:sz w:val="24"/>
          <w:szCs w:val="24"/>
        </w:rPr>
        <w:t>kapitola 3. Snižování rizik – Harm Reduction na str. 12</w:t>
      </w:r>
      <w:r w:rsidRPr="00BB72E7">
        <w:rPr>
          <w:rFonts w:ascii="Arial" w:hAnsi="Arial" w:cs="Arial"/>
          <w:sz w:val="24"/>
          <w:szCs w:val="24"/>
        </w:rPr>
        <w:t xml:space="preserve">). </w:t>
      </w:r>
    </w:p>
    <w:p w:rsidR="00BB72E7" w:rsidRPr="00BB72E7" w:rsidRDefault="00BB72E7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2E7">
        <w:rPr>
          <w:rFonts w:ascii="Arial" w:hAnsi="Arial" w:cs="Arial"/>
          <w:sz w:val="24"/>
          <w:szCs w:val="24"/>
        </w:rPr>
        <w:t>Potřebnost projektu na MČ Praha 9 vyplývá z pravidelných zpráv dodavatele služby o jejím využívání ze strany klientů v minulém období (2012 – 2015). Současně je potřebnost terénních programů na území HMP podrobně zdůvodněna v dokumentu „Strategie protidrogové politiky HMP na období 2014 až 2020“ (</w:t>
      </w:r>
      <w:r w:rsidRPr="00725307">
        <w:rPr>
          <w:rFonts w:ascii="Arial" w:hAnsi="Arial" w:cs="Arial"/>
          <w:i/>
          <w:sz w:val="24"/>
          <w:szCs w:val="24"/>
        </w:rPr>
        <w:t>např. v bodě 2.1.5</w:t>
      </w:r>
      <w:r w:rsidRPr="00BB72E7">
        <w:rPr>
          <w:rFonts w:ascii="Arial" w:hAnsi="Arial" w:cs="Arial"/>
          <w:sz w:val="24"/>
          <w:szCs w:val="24"/>
        </w:rPr>
        <w:t xml:space="preserve">). </w:t>
      </w:r>
    </w:p>
    <w:p w:rsidR="00BB72E7" w:rsidRPr="00BB72E7" w:rsidRDefault="00BB72E7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2E7">
        <w:rPr>
          <w:rFonts w:ascii="Arial" w:hAnsi="Arial" w:cs="Arial"/>
          <w:sz w:val="24"/>
          <w:szCs w:val="24"/>
        </w:rPr>
        <w:t>Injekční užívání návykových látek v sobě obsahuje velký potenciál pro ohrožení veřejného zdraví. Jde převážně o zabránění, či omezení vzniku a šíření infekčních chorob (virová hepatitida, HIV/AIDS apod.). Základním cílem v běžné praxi je, aby všichni nitrožilní uživatelé návykových látek v dané lokalitě měli k dispozici sterilní injekční materiál a dodržovali zásady bezpečnějšího užívání návykových látek.</w:t>
      </w:r>
    </w:p>
    <w:p w:rsidR="00BB72E7" w:rsidRPr="00BB72E7" w:rsidRDefault="00BB72E7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2E7">
        <w:rPr>
          <w:rFonts w:ascii="Arial" w:hAnsi="Arial" w:cs="Arial"/>
          <w:sz w:val="24"/>
          <w:szCs w:val="24"/>
        </w:rPr>
        <w:t xml:space="preserve">Terénní program poskytovatele </w:t>
      </w:r>
      <w:r w:rsidRPr="00D37C83">
        <w:rPr>
          <w:rFonts w:ascii="Arial" w:hAnsi="Arial" w:cs="Arial"/>
          <w:b/>
          <w:sz w:val="24"/>
          <w:szCs w:val="24"/>
        </w:rPr>
        <w:t>Drop In, o.p.s.</w:t>
      </w:r>
      <w:r w:rsidRPr="00BB72E7">
        <w:rPr>
          <w:rFonts w:ascii="Arial" w:hAnsi="Arial" w:cs="Arial"/>
          <w:sz w:val="24"/>
          <w:szCs w:val="24"/>
        </w:rPr>
        <w:t xml:space="preserve"> je registrovanou sociální službou dle zákona č. 108/2006 Sb. Program také získal certifikaci odborné způsobilosti služeb pro uživatele drog od Rady vlády pro koordinaci protidrogové politiky.</w:t>
      </w:r>
    </w:p>
    <w:p w:rsidR="00AD398A" w:rsidRDefault="00AD398A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398A" w:rsidRDefault="00860332" w:rsidP="00A42921">
      <w:pPr>
        <w:pStyle w:val="Nadpis2"/>
        <w:spacing w:line="360" w:lineRule="auto"/>
      </w:pPr>
      <w:bookmarkStart w:id="7" w:name="_Toc433703498"/>
      <w:r>
        <w:t>3.</w:t>
      </w:r>
      <w:r w:rsidR="00134448">
        <w:t xml:space="preserve"> </w:t>
      </w:r>
      <w:r>
        <w:t xml:space="preserve">Ostatní aktivity </w:t>
      </w:r>
      <w:r w:rsidR="00134448">
        <w:t>v protidrogové politice</w:t>
      </w:r>
      <w:bookmarkEnd w:id="7"/>
    </w:p>
    <w:p w:rsidR="00CC3DDE" w:rsidRDefault="00CC3DDE" w:rsidP="00A42921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3DDE">
        <w:rPr>
          <w:rFonts w:ascii="Arial" w:hAnsi="Arial" w:cs="Arial"/>
          <w:sz w:val="24"/>
          <w:szCs w:val="24"/>
        </w:rPr>
        <w:t>MČ Praha 9 se zapojuje do akce „AntiFETfest</w:t>
      </w:r>
      <w:r w:rsidR="00843C24">
        <w:rPr>
          <w:rFonts w:ascii="Arial" w:hAnsi="Arial" w:cs="Arial"/>
          <w:sz w:val="24"/>
          <w:szCs w:val="24"/>
        </w:rPr>
        <w:t xml:space="preserve"> </w:t>
      </w:r>
      <w:r w:rsidRPr="00CC3DDE">
        <w:rPr>
          <w:rFonts w:ascii="Arial" w:hAnsi="Arial" w:cs="Arial"/>
          <w:sz w:val="24"/>
          <w:szCs w:val="24"/>
        </w:rPr>
        <w:t>aneb jde to i jinak!“ - soutěžního festivalu amatérských filmů pro školy, školská zařízení a nízkoprahové kluby s tématikou rizikového chování.</w:t>
      </w:r>
      <w:r>
        <w:rPr>
          <w:rFonts w:ascii="Arial" w:hAnsi="Arial" w:cs="Arial"/>
          <w:sz w:val="24"/>
          <w:szCs w:val="24"/>
        </w:rPr>
        <w:t xml:space="preserve"> V obvodním kole jsou vybrány postupující snímky, účastníkům jsou předány věcné ceny.</w:t>
      </w:r>
    </w:p>
    <w:p w:rsidR="00340112" w:rsidRDefault="00340112" w:rsidP="00A42921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Školám působícím na území MČ Praha 9 je v případě jejich zájmu hrazeno předplatné odborného časopisu Prevence (měsíčník - vydává o.s. Život bez závislostí).</w:t>
      </w:r>
    </w:p>
    <w:p w:rsidR="00340112" w:rsidRDefault="00340112" w:rsidP="00A42921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období 2014 – 2018 byla ustavena Komise bezpečnostní a protidrogová jako poradní orgán Rady MČ Praha 9. Komise se má podle zásad vydaných ZMČ scházet nejméně 4x ročně. </w:t>
      </w:r>
    </w:p>
    <w:p w:rsidR="00340112" w:rsidRPr="00340112" w:rsidRDefault="00340112" w:rsidP="00A42921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40112">
        <w:rPr>
          <w:rFonts w:ascii="Arial" w:hAnsi="Arial" w:cs="Arial"/>
          <w:i/>
          <w:sz w:val="24"/>
          <w:szCs w:val="24"/>
        </w:rPr>
        <w:t>Složení komise – viz příloha č. 3</w:t>
      </w:r>
    </w:p>
    <w:p w:rsidR="009A5962" w:rsidRDefault="00134448" w:rsidP="00A42921">
      <w:pPr>
        <w:pStyle w:val="Nadpis2"/>
        <w:spacing w:line="360" w:lineRule="auto"/>
      </w:pPr>
      <w:bookmarkStart w:id="8" w:name="_Toc433703499"/>
      <w:r>
        <w:t>4. Finanční prostředky na protidrogovou politiku</w:t>
      </w:r>
      <w:bookmarkEnd w:id="8"/>
    </w:p>
    <w:p w:rsidR="00B347E6" w:rsidRDefault="00B978B2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rozpočtu Sociálního odboru ÚMČ Praha 9 jsou vyčleněny prostředky na běžné výdaje v protidrogové politice. </w:t>
      </w:r>
      <w:r w:rsidR="00B347E6">
        <w:rPr>
          <w:rFonts w:ascii="Arial" w:hAnsi="Arial" w:cs="Arial"/>
          <w:sz w:val="24"/>
          <w:szCs w:val="24"/>
        </w:rPr>
        <w:t>Účetně v</w:t>
      </w:r>
      <w:r>
        <w:rPr>
          <w:rFonts w:ascii="Arial" w:hAnsi="Arial" w:cs="Arial"/>
          <w:sz w:val="24"/>
          <w:szCs w:val="24"/>
        </w:rPr>
        <w:t xml:space="preserve">edeno </w:t>
      </w:r>
      <w:r w:rsidR="00B347E6">
        <w:rPr>
          <w:rFonts w:ascii="Arial" w:hAnsi="Arial" w:cs="Arial"/>
          <w:sz w:val="24"/>
          <w:szCs w:val="24"/>
        </w:rPr>
        <w:t xml:space="preserve">podle Vyhlášky Ministerstva financí č. 323/2002 Sb, v platném znění, </w:t>
      </w:r>
      <w:r>
        <w:rPr>
          <w:rFonts w:ascii="Arial" w:hAnsi="Arial" w:cs="Arial"/>
          <w:sz w:val="24"/>
          <w:szCs w:val="24"/>
        </w:rPr>
        <w:t>pod</w:t>
      </w:r>
      <w:r w:rsidR="00B347E6">
        <w:rPr>
          <w:rFonts w:ascii="Arial" w:hAnsi="Arial" w:cs="Arial"/>
          <w:sz w:val="24"/>
          <w:szCs w:val="24"/>
        </w:rPr>
        <w:t xml:space="preserve"> § 3541 (</w:t>
      </w:r>
      <w:r w:rsidR="00B347E6" w:rsidRPr="00B347E6">
        <w:rPr>
          <w:rFonts w:ascii="Arial" w:hAnsi="Arial" w:cs="Arial"/>
          <w:i/>
          <w:sz w:val="24"/>
          <w:szCs w:val="24"/>
        </w:rPr>
        <w:t>Prevence před drogami, alkoholem, nikotinem a jinými návykovými látkami</w:t>
      </w:r>
      <w:r w:rsidR="00B347E6">
        <w:rPr>
          <w:rFonts w:ascii="Arial" w:hAnsi="Arial" w:cs="Arial"/>
          <w:sz w:val="24"/>
          <w:szCs w:val="24"/>
        </w:rPr>
        <w:t xml:space="preserve">). Návrh rozpočtu počítá s celkovou částkou ve výši </w:t>
      </w:r>
      <w:r w:rsidR="00B347E6" w:rsidRPr="005D2F14">
        <w:rPr>
          <w:rFonts w:ascii="Arial" w:hAnsi="Arial" w:cs="Arial"/>
          <w:sz w:val="24"/>
          <w:szCs w:val="24"/>
        </w:rPr>
        <w:t>420 tisíc Kč na</w:t>
      </w:r>
      <w:r w:rsidR="00B347E6">
        <w:rPr>
          <w:rFonts w:ascii="Arial" w:hAnsi="Arial" w:cs="Arial"/>
          <w:sz w:val="24"/>
          <w:szCs w:val="24"/>
        </w:rPr>
        <w:t xml:space="preserve"> běžné činnosti v protidrogové politice (bude případně schváleno Zastupitelstvem</w:t>
      </w:r>
      <w:r w:rsidR="006A33BF">
        <w:rPr>
          <w:rFonts w:ascii="Arial" w:hAnsi="Arial" w:cs="Arial"/>
          <w:sz w:val="24"/>
          <w:szCs w:val="24"/>
        </w:rPr>
        <w:t xml:space="preserve"> MČ Praha 9 na začátku roku 2017</w:t>
      </w:r>
      <w:r w:rsidR="00B347E6">
        <w:rPr>
          <w:rFonts w:ascii="Arial" w:hAnsi="Arial" w:cs="Arial"/>
          <w:sz w:val="24"/>
          <w:szCs w:val="24"/>
        </w:rPr>
        <w:t xml:space="preserve">). </w:t>
      </w:r>
    </w:p>
    <w:p w:rsidR="009A5962" w:rsidRPr="00B347E6" w:rsidRDefault="00B347E6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347E6">
        <w:rPr>
          <w:rFonts w:ascii="Arial" w:hAnsi="Arial" w:cs="Arial"/>
          <w:i/>
          <w:sz w:val="24"/>
          <w:szCs w:val="24"/>
        </w:rPr>
        <w:t xml:space="preserve">Podrobný rozpis položek je uveden v komentáři k návrhu rozpočtu – viz příloha č. 2.   </w:t>
      </w:r>
      <w:r w:rsidR="00B978B2" w:rsidRPr="00B347E6">
        <w:rPr>
          <w:rFonts w:ascii="Arial" w:hAnsi="Arial" w:cs="Arial"/>
          <w:i/>
          <w:sz w:val="24"/>
          <w:szCs w:val="24"/>
        </w:rPr>
        <w:t xml:space="preserve">  </w:t>
      </w:r>
    </w:p>
    <w:p w:rsidR="009A5962" w:rsidRDefault="009A5962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2F14" w:rsidRDefault="00B347E6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lze předpoklád</w:t>
      </w:r>
      <w:r w:rsidR="005D2F1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t, že</w:t>
      </w:r>
      <w:r w:rsidR="005D2F14">
        <w:rPr>
          <w:rFonts w:ascii="Arial" w:hAnsi="Arial" w:cs="Arial"/>
          <w:sz w:val="24"/>
          <w:szCs w:val="24"/>
        </w:rPr>
        <w:t xml:space="preserve"> obdobně jako v předchozích letech </w:t>
      </w:r>
      <w:r>
        <w:rPr>
          <w:rFonts w:ascii="Arial" w:hAnsi="Arial" w:cs="Arial"/>
          <w:sz w:val="24"/>
          <w:szCs w:val="24"/>
        </w:rPr>
        <w:t xml:space="preserve">bude vyhlášeno grantové řízení MČ </w:t>
      </w:r>
      <w:r w:rsidR="006A33BF">
        <w:rPr>
          <w:rFonts w:ascii="Arial" w:hAnsi="Arial" w:cs="Arial"/>
          <w:sz w:val="24"/>
          <w:szCs w:val="24"/>
        </w:rPr>
        <w:t>Praha 9. V roce 2016</w:t>
      </w:r>
      <w:r w:rsidR="005D2F14">
        <w:rPr>
          <w:rFonts w:ascii="Arial" w:hAnsi="Arial" w:cs="Arial"/>
          <w:sz w:val="24"/>
          <w:szCs w:val="24"/>
        </w:rPr>
        <w:t xml:space="preserve"> byla úspěšným žadatelům v </w:t>
      </w:r>
      <w:r w:rsidR="005D2F14" w:rsidRPr="005D2F14">
        <w:rPr>
          <w:rFonts w:ascii="Arial" w:hAnsi="Arial" w:cs="Arial"/>
          <w:sz w:val="24"/>
          <w:szCs w:val="24"/>
        </w:rPr>
        <w:t xml:space="preserve">kapitole č. IV </w:t>
      </w:r>
      <w:r w:rsidR="005D2F14">
        <w:rPr>
          <w:rFonts w:ascii="Arial" w:hAnsi="Arial" w:cs="Arial"/>
          <w:sz w:val="24"/>
          <w:szCs w:val="24"/>
        </w:rPr>
        <w:t>(</w:t>
      </w:r>
      <w:r w:rsidR="005D2F14" w:rsidRPr="005D2F14">
        <w:rPr>
          <w:rFonts w:ascii="Arial" w:hAnsi="Arial" w:cs="Arial"/>
          <w:sz w:val="24"/>
          <w:szCs w:val="24"/>
        </w:rPr>
        <w:t>Programy protidrogové a prevence kriminality</w:t>
      </w:r>
      <w:r w:rsidR="005D2F14">
        <w:rPr>
          <w:rFonts w:ascii="Arial" w:hAnsi="Arial" w:cs="Arial"/>
          <w:sz w:val="24"/>
          <w:szCs w:val="24"/>
        </w:rPr>
        <w:t>)</w:t>
      </w:r>
      <w:r w:rsidRPr="005D2F14">
        <w:rPr>
          <w:rFonts w:ascii="Arial" w:hAnsi="Arial" w:cs="Arial"/>
          <w:sz w:val="24"/>
          <w:szCs w:val="24"/>
        </w:rPr>
        <w:t xml:space="preserve"> </w:t>
      </w:r>
      <w:r w:rsidR="005D2F14">
        <w:rPr>
          <w:rFonts w:ascii="Arial" w:hAnsi="Arial" w:cs="Arial"/>
          <w:sz w:val="24"/>
          <w:szCs w:val="24"/>
        </w:rPr>
        <w:t>r</w:t>
      </w:r>
      <w:r w:rsidR="005D2F14" w:rsidRPr="005D2F14">
        <w:rPr>
          <w:rFonts w:ascii="Arial" w:hAnsi="Arial" w:cs="Arial"/>
          <w:sz w:val="24"/>
          <w:szCs w:val="24"/>
        </w:rPr>
        <w:t>ozdělena částka 100</w:t>
      </w:r>
      <w:r w:rsidR="005D2F14">
        <w:rPr>
          <w:rFonts w:ascii="Arial" w:hAnsi="Arial" w:cs="Arial"/>
          <w:sz w:val="24"/>
          <w:szCs w:val="24"/>
        </w:rPr>
        <w:t xml:space="preserve"> tisíc Kč.</w:t>
      </w:r>
    </w:p>
    <w:p w:rsidR="00B347E6" w:rsidRPr="005D2F14" w:rsidRDefault="00B347E6" w:rsidP="00A4292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4E3B" w:rsidRDefault="00A3093A" w:rsidP="00B14E3B">
      <w:pPr>
        <w:pStyle w:val="Nadpis2"/>
      </w:pPr>
      <w:bookmarkStart w:id="9" w:name="_Toc433703500"/>
      <w:r>
        <w:t>Seznam p</w:t>
      </w:r>
      <w:r w:rsidR="00B14E3B">
        <w:t>říloh:</w:t>
      </w:r>
      <w:bookmarkEnd w:id="9"/>
    </w:p>
    <w:p w:rsidR="00B14E3B" w:rsidRDefault="00B14E3B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spolupracující organizace – poskytovatelé služeb  </w:t>
      </w:r>
    </w:p>
    <w:p w:rsidR="00B14E3B" w:rsidRDefault="00B14E3B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návrh rozpočtu na protidrogovou politiku MČ Praha 9 </w:t>
      </w:r>
      <w:r w:rsidR="00B978B2">
        <w:rPr>
          <w:rFonts w:ascii="Arial" w:hAnsi="Arial" w:cs="Arial"/>
          <w:sz w:val="24"/>
          <w:szCs w:val="24"/>
        </w:rPr>
        <w:t>pro rok</w:t>
      </w:r>
      <w:r w:rsidR="006A33BF">
        <w:rPr>
          <w:rFonts w:ascii="Arial" w:hAnsi="Arial" w:cs="Arial"/>
          <w:sz w:val="24"/>
          <w:szCs w:val="24"/>
        </w:rPr>
        <w:t xml:space="preserve"> 2017</w:t>
      </w:r>
    </w:p>
    <w:p w:rsidR="00CC3DDE" w:rsidRDefault="00CC3DDE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složení Komise bezpečnostní a protidrogové na období 2014 - 2018</w:t>
      </w:r>
    </w:p>
    <w:p w:rsidR="00B14E3B" w:rsidRDefault="00B14E3B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14E3B" w:rsidRDefault="00B14E3B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23CD5" w:rsidRDefault="00C23CD5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23CD5">
        <w:rPr>
          <w:rFonts w:ascii="Arial" w:hAnsi="Arial" w:cs="Arial"/>
        </w:rPr>
        <w:t xml:space="preserve">Zpracoval </w:t>
      </w:r>
      <w:r w:rsidR="00A3093A">
        <w:rPr>
          <w:rFonts w:ascii="Arial" w:hAnsi="Arial" w:cs="Arial"/>
        </w:rPr>
        <w:t xml:space="preserve">k </w:t>
      </w:r>
      <w:r w:rsidRPr="00C23CD5">
        <w:rPr>
          <w:rFonts w:ascii="Arial" w:hAnsi="Arial" w:cs="Arial"/>
        </w:rPr>
        <w:t>2</w:t>
      </w:r>
      <w:r w:rsidR="00776666">
        <w:rPr>
          <w:rFonts w:ascii="Arial" w:hAnsi="Arial" w:cs="Arial"/>
        </w:rPr>
        <w:t>6</w:t>
      </w:r>
      <w:r w:rsidR="009D29F8">
        <w:rPr>
          <w:rFonts w:ascii="Arial" w:hAnsi="Arial" w:cs="Arial"/>
        </w:rPr>
        <w:t>. 9. 2016</w:t>
      </w:r>
      <w:r w:rsidRPr="00C23CD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C23CD5">
        <w:rPr>
          <w:rFonts w:ascii="Arial" w:hAnsi="Arial" w:cs="Arial"/>
        </w:rPr>
        <w:t xml:space="preserve"> </w:t>
      </w:r>
    </w:p>
    <w:p w:rsidR="00B14E3B" w:rsidRDefault="00B14E3B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14E3B" w:rsidRDefault="00B14E3B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A5962" w:rsidRDefault="009D29F8" w:rsidP="00C23CD5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Markéta Ručková </w:t>
      </w:r>
    </w:p>
    <w:p w:rsidR="009D29F8" w:rsidRPr="00C23CD5" w:rsidRDefault="009D29F8" w:rsidP="009D29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protidrogový koordinátor</w:t>
      </w:r>
    </w:p>
    <w:p w:rsidR="009A5962" w:rsidRDefault="009A5962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A5962" w:rsidRDefault="009A5962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14E3B" w:rsidRDefault="00B14E3B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14E3B" w:rsidRDefault="00B14E3B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76666" w:rsidRDefault="00776666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Seznámen/a s Akčním plánem protidrogové politiky </w:t>
      </w:r>
      <w:r w:rsidR="00B14E3B">
        <w:rPr>
          <w:rFonts w:ascii="Arial" w:hAnsi="Arial" w:cs="Arial"/>
          <w:sz w:val="24"/>
          <w:szCs w:val="24"/>
        </w:rPr>
        <w:t xml:space="preserve">na MČ Praha 9 pro </w:t>
      </w:r>
      <w:r w:rsidR="009D29F8">
        <w:rPr>
          <w:rFonts w:ascii="Arial" w:hAnsi="Arial" w:cs="Arial"/>
          <w:sz w:val="24"/>
          <w:szCs w:val="24"/>
        </w:rPr>
        <w:t>rok 2017</w:t>
      </w:r>
      <w:r w:rsidR="00B14E3B">
        <w:rPr>
          <w:rFonts w:ascii="Arial" w:hAnsi="Arial" w:cs="Arial"/>
          <w:sz w:val="24"/>
          <w:szCs w:val="24"/>
        </w:rPr>
        <w:t>:</w:t>
      </w:r>
    </w:p>
    <w:p w:rsidR="00776666" w:rsidRDefault="00776666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2533"/>
        <w:gridCol w:w="869"/>
        <w:gridCol w:w="3996"/>
      </w:tblGrid>
      <w:tr w:rsidR="00776666" w:rsidRPr="00FF3E22" w:rsidTr="00B14E3B">
        <w:trPr>
          <w:cantSplit/>
          <w:trHeight w:val="1065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6666" w:rsidRPr="00FF3E22" w:rsidRDefault="00776666" w:rsidP="00776666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F3E22">
              <w:rPr>
                <w:rFonts w:ascii="Arial" w:hAnsi="Arial" w:cs="Arial"/>
                <w:b/>
                <w:bCs/>
              </w:rPr>
              <w:t>Jméno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FF3E2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FF3E22">
              <w:rPr>
                <w:rFonts w:ascii="Arial" w:hAnsi="Arial" w:cs="Arial"/>
                <w:b/>
                <w:bCs/>
              </w:rPr>
              <w:t>říjmení</w:t>
            </w:r>
            <w:r>
              <w:rPr>
                <w:rFonts w:ascii="Arial" w:hAnsi="Arial" w:cs="Arial"/>
                <w:b/>
                <w:bCs/>
              </w:rPr>
              <w:t>, titul: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666" w:rsidRDefault="00776666" w:rsidP="00776666">
            <w:pPr>
              <w:jc w:val="both"/>
              <w:rPr>
                <w:rFonts w:ascii="Arial" w:hAnsi="Arial" w:cs="Arial"/>
              </w:rPr>
            </w:pPr>
          </w:p>
          <w:p w:rsidR="00776666" w:rsidRPr="001567E2" w:rsidRDefault="001567E2" w:rsidP="00CC3DD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567E2">
              <w:rPr>
                <w:rFonts w:ascii="Arial" w:hAnsi="Arial" w:cs="Arial"/>
                <w:b/>
              </w:rPr>
              <w:t>Mgr. Jana Dobišová Zemanová</w:t>
            </w:r>
          </w:p>
          <w:p w:rsidR="00776666" w:rsidRPr="00B14E3B" w:rsidRDefault="001567E2" w:rsidP="00CC3DD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7E2">
              <w:rPr>
                <w:rFonts w:ascii="Arial" w:hAnsi="Arial" w:cs="Arial"/>
              </w:rPr>
              <w:t>vedoucí odboru sociálního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666" w:rsidRPr="00FF3E22" w:rsidRDefault="00776666" w:rsidP="0077666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6666" w:rsidRPr="00FF3E22" w:rsidTr="00776666">
        <w:trPr>
          <w:cantSplit/>
          <w:trHeight w:val="340"/>
          <w:jc w:val="center"/>
        </w:trPr>
        <w:tc>
          <w:tcPr>
            <w:tcW w:w="25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666" w:rsidRPr="00FF3E22" w:rsidRDefault="00776666" w:rsidP="00776666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 Praze dne: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666" w:rsidRPr="00FF3E22" w:rsidRDefault="00776666" w:rsidP="007766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6666" w:rsidRDefault="00776666" w:rsidP="00776666">
            <w:pPr>
              <w:jc w:val="both"/>
              <w:rPr>
                <w:rFonts w:ascii="Arial" w:hAnsi="Arial" w:cs="Arial"/>
                <w:b/>
                <w:bCs/>
              </w:rPr>
            </w:pPr>
            <w:r w:rsidRPr="00FF3E22">
              <w:rPr>
                <w:rFonts w:ascii="Arial" w:hAnsi="Arial" w:cs="Arial"/>
                <w:b/>
                <w:bCs/>
              </w:rPr>
              <w:t>Podpis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776666" w:rsidRPr="00FF3E22" w:rsidRDefault="00776666" w:rsidP="0077666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76666" w:rsidRDefault="00776666" w:rsidP="00776666">
      <w:pPr>
        <w:suppressAutoHyphens/>
        <w:rPr>
          <w:rFonts w:ascii="Arial" w:hAnsi="Arial" w:cs="Arial"/>
          <w:lang w:eastAsia="ar-SA"/>
        </w:rPr>
      </w:pPr>
    </w:p>
    <w:p w:rsidR="009A5962" w:rsidRDefault="009A5962" w:rsidP="009A5962">
      <w:pPr>
        <w:pStyle w:val="Nadpis2"/>
        <w:jc w:val="right"/>
      </w:pPr>
      <w:bookmarkStart w:id="10" w:name="_Toc433703501"/>
      <w:r>
        <w:t>Příloha č. 1</w:t>
      </w:r>
      <w:bookmarkEnd w:id="10"/>
    </w:p>
    <w:p w:rsidR="009A5962" w:rsidRDefault="009A5962" w:rsidP="009A596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A5962" w:rsidRPr="003B0CFF" w:rsidRDefault="009A5962" w:rsidP="009A5962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3B0CFF">
        <w:rPr>
          <w:rFonts w:ascii="Arial" w:hAnsi="Arial" w:cs="Arial"/>
          <w:b/>
          <w:sz w:val="24"/>
          <w:szCs w:val="24"/>
          <w:u w:val="single"/>
        </w:rPr>
        <w:t xml:space="preserve">polupracující organizace </w:t>
      </w: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3B0CFF">
        <w:rPr>
          <w:rFonts w:ascii="Arial" w:hAnsi="Arial" w:cs="Arial"/>
          <w:b/>
          <w:sz w:val="24"/>
          <w:szCs w:val="24"/>
          <w:u w:val="single"/>
        </w:rPr>
        <w:t xml:space="preserve">dodavatelé služeb v oblasti </w:t>
      </w:r>
      <w:r>
        <w:rPr>
          <w:rFonts w:ascii="Arial" w:hAnsi="Arial" w:cs="Arial"/>
          <w:b/>
          <w:sz w:val="24"/>
          <w:szCs w:val="24"/>
          <w:u w:val="single"/>
        </w:rPr>
        <w:t xml:space="preserve">primární </w:t>
      </w:r>
      <w:r w:rsidRPr="003B0CFF">
        <w:rPr>
          <w:rFonts w:ascii="Arial" w:hAnsi="Arial" w:cs="Arial"/>
          <w:b/>
          <w:sz w:val="24"/>
          <w:szCs w:val="24"/>
          <w:u w:val="single"/>
        </w:rPr>
        <w:t>prevence:</w:t>
      </w: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C4EC4">
        <w:rPr>
          <w:rFonts w:ascii="Arial" w:hAnsi="Arial" w:cs="Arial"/>
          <w:b/>
          <w:bCs/>
          <w:i/>
          <w:sz w:val="24"/>
          <w:szCs w:val="24"/>
        </w:rPr>
        <w:t>Občanské sdružení Jules a Jim</w:t>
      </w:r>
      <w:r w:rsidRPr="00BC4EC4">
        <w:rPr>
          <w:rFonts w:ascii="Arial" w:hAnsi="Arial" w:cs="Arial"/>
          <w:sz w:val="24"/>
          <w:szCs w:val="24"/>
        </w:rPr>
        <w:t xml:space="preserve"> vzniklo v roce 2002. Je registrované u Ministerstva vnitra ČR.</w:t>
      </w:r>
      <w:r>
        <w:rPr>
          <w:rFonts w:ascii="Arial" w:hAnsi="Arial" w:cs="Arial"/>
          <w:sz w:val="24"/>
          <w:szCs w:val="24"/>
        </w:rPr>
        <w:t xml:space="preserve"> </w:t>
      </w:r>
      <w:r w:rsidRPr="00BC4EC4">
        <w:rPr>
          <w:rFonts w:ascii="Arial" w:hAnsi="Arial" w:cs="Arial"/>
          <w:sz w:val="24"/>
          <w:szCs w:val="24"/>
        </w:rPr>
        <w:t>V týmu občanského sdružení pracuje přes 30 lektorů</w:t>
      </w:r>
      <w:r>
        <w:rPr>
          <w:rFonts w:ascii="Arial" w:hAnsi="Arial" w:cs="Arial"/>
          <w:sz w:val="24"/>
          <w:szCs w:val="24"/>
        </w:rPr>
        <w:t>.</w:t>
      </w:r>
      <w:r w:rsidRPr="00BC4EC4">
        <w:rPr>
          <w:rFonts w:ascii="Arial" w:hAnsi="Arial" w:cs="Arial"/>
          <w:sz w:val="24"/>
          <w:szCs w:val="24"/>
        </w:rPr>
        <w:t xml:space="preserve"> Lidé v o.s. Jules a Jim jsou vzděl</w:t>
      </w:r>
      <w:r>
        <w:rPr>
          <w:rFonts w:ascii="Arial" w:hAnsi="Arial" w:cs="Arial"/>
          <w:sz w:val="24"/>
          <w:szCs w:val="24"/>
        </w:rPr>
        <w:t>áni</w:t>
      </w:r>
      <w:r w:rsidRPr="00BC4EC4">
        <w:rPr>
          <w:rFonts w:ascii="Arial" w:hAnsi="Arial" w:cs="Arial"/>
          <w:sz w:val="24"/>
          <w:szCs w:val="24"/>
        </w:rPr>
        <w:t xml:space="preserve"> v oboru pedagogika, andragogika, psychologie a sociologie.</w:t>
      </w:r>
      <w:r>
        <w:rPr>
          <w:rFonts w:ascii="Arial" w:hAnsi="Arial" w:cs="Arial"/>
          <w:sz w:val="24"/>
          <w:szCs w:val="24"/>
        </w:rPr>
        <w:t xml:space="preserve"> Využívá metody tzv. zážitkové pedagogiky. </w:t>
      </w:r>
    </w:p>
    <w:p w:rsidR="009A5962" w:rsidRPr="00BC4EC4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C4EC4">
        <w:rPr>
          <w:rFonts w:ascii="Arial" w:hAnsi="Arial" w:cs="Arial"/>
          <w:sz w:val="24"/>
          <w:szCs w:val="24"/>
        </w:rPr>
        <w:t>Jules a Jim se specializuje na skupinový a osobnostní rozvoj dětí, mládeže i dospělých. Zaměřuje se na prožitkové kurzy a kurzy prevence sociálně patologických jevů.</w:t>
      </w:r>
    </w:p>
    <w:p w:rsidR="009A5962" w:rsidRPr="0039473D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A5962" w:rsidRPr="0039473D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9473D">
        <w:rPr>
          <w:rFonts w:ascii="Arial" w:hAnsi="Arial" w:cs="Arial"/>
          <w:b/>
          <w:i/>
          <w:sz w:val="24"/>
          <w:szCs w:val="24"/>
        </w:rPr>
        <w:t>Občanské sdružení Život bez závislostí</w:t>
      </w:r>
      <w:r w:rsidRPr="0039473D">
        <w:rPr>
          <w:rFonts w:ascii="Arial" w:hAnsi="Arial" w:cs="Arial"/>
          <w:sz w:val="24"/>
          <w:szCs w:val="24"/>
        </w:rPr>
        <w:t xml:space="preserve"> je nestátní, nezisková organizace, která vznikla v roce 1994 za účelem realizace primární prevence návykových látek. Postupně se činnost rozrostla do oblasti psychoterapie, vzdělávání ostatních odborníků v této oblasti a dalšího servisu spojeného s danou činností. V současnosti sdružení realizuje prevenci rizikového chování jako je zneužívání návykových látek, týrání dětí, sexuální zneužívání, šikana, agresivita, kriminalita.</w:t>
      </w:r>
    </w:p>
    <w:p w:rsidR="009A5962" w:rsidRPr="0039473D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A5962" w:rsidRPr="0039473D" w:rsidRDefault="009A5962" w:rsidP="009A5962">
      <w:pPr>
        <w:pStyle w:val="Nadpis2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433703502"/>
      <w:r w:rsidRPr="0039473D">
        <w:rPr>
          <w:rFonts w:ascii="Arial" w:hAnsi="Arial" w:cs="Arial"/>
          <w:i/>
          <w:color w:val="auto"/>
          <w:sz w:val="24"/>
          <w:szCs w:val="24"/>
        </w:rPr>
        <w:t>Proxima Sociale o.p.s.</w:t>
      </w:r>
      <w:r w:rsidRPr="0039473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považuje za své poslání </w:t>
      </w:r>
      <w:r w:rsidRPr="0039473D">
        <w:rPr>
          <w:rFonts w:ascii="Arial" w:hAnsi="Arial" w:cs="Arial"/>
          <w:b w:val="0"/>
          <w:color w:val="auto"/>
          <w:sz w:val="24"/>
          <w:szCs w:val="24"/>
        </w:rPr>
        <w:t>zvyšov</w:t>
      </w:r>
      <w:r>
        <w:rPr>
          <w:rFonts w:ascii="Arial" w:hAnsi="Arial" w:cs="Arial"/>
          <w:b w:val="0"/>
          <w:color w:val="auto"/>
          <w:sz w:val="24"/>
          <w:szCs w:val="24"/>
        </w:rPr>
        <w:t>at</w:t>
      </w:r>
      <w:r w:rsidRPr="0039473D">
        <w:rPr>
          <w:rFonts w:ascii="Arial" w:hAnsi="Arial" w:cs="Arial"/>
          <w:b w:val="0"/>
          <w:color w:val="auto"/>
          <w:sz w:val="24"/>
          <w:szCs w:val="24"/>
        </w:rPr>
        <w:t xml:space="preserve"> kvalit</w:t>
      </w:r>
      <w:r>
        <w:rPr>
          <w:rFonts w:ascii="Arial" w:hAnsi="Arial" w:cs="Arial"/>
          <w:b w:val="0"/>
          <w:color w:val="auto"/>
          <w:sz w:val="24"/>
          <w:szCs w:val="24"/>
        </w:rPr>
        <w:t>u</w:t>
      </w:r>
      <w:r w:rsidRPr="0039473D">
        <w:rPr>
          <w:rFonts w:ascii="Arial" w:hAnsi="Arial" w:cs="Arial"/>
          <w:b w:val="0"/>
          <w:color w:val="auto"/>
          <w:sz w:val="24"/>
          <w:szCs w:val="24"/>
        </w:rPr>
        <w:t xml:space="preserve"> života občanů </w:t>
      </w:r>
      <w:r w:rsidR="009D29F8">
        <w:t xml:space="preserve"> </w:t>
      </w:r>
      <w:r w:rsidR="009D29F8">
        <w:rPr>
          <w:rFonts w:ascii="Arial" w:hAnsi="Arial" w:cs="Arial"/>
          <w:b w:val="0"/>
          <w:color w:val="auto"/>
          <w:sz w:val="24"/>
          <w:szCs w:val="24"/>
        </w:rPr>
        <w:t xml:space="preserve">     </w:t>
      </w:r>
      <w:r w:rsidRPr="0039473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D29F8">
        <w:rPr>
          <w:rFonts w:ascii="Arial" w:hAnsi="Arial" w:cs="Arial"/>
          <w:b w:val="0"/>
          <w:color w:val="auto"/>
          <w:sz w:val="24"/>
          <w:szCs w:val="24"/>
        </w:rPr>
        <w:t xml:space="preserve">a </w:t>
      </w:r>
      <w:r w:rsidRPr="0039473D">
        <w:rPr>
          <w:rFonts w:ascii="Arial" w:hAnsi="Arial" w:cs="Arial"/>
          <w:b w:val="0"/>
          <w:color w:val="auto"/>
          <w:sz w:val="24"/>
          <w:szCs w:val="24"/>
        </w:rPr>
        <w:t>pomoc</w:t>
      </w:r>
      <w:r>
        <w:rPr>
          <w:rFonts w:ascii="Arial" w:hAnsi="Arial" w:cs="Arial"/>
          <w:b w:val="0"/>
          <w:color w:val="auto"/>
          <w:sz w:val="24"/>
          <w:szCs w:val="24"/>
        </w:rPr>
        <w:t>i</w:t>
      </w:r>
      <w:r w:rsidRPr="0039473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jim </w:t>
      </w:r>
      <w:r w:rsidRPr="0039473D">
        <w:rPr>
          <w:rFonts w:ascii="Arial" w:hAnsi="Arial" w:cs="Arial"/>
          <w:b w:val="0"/>
          <w:color w:val="auto"/>
          <w:sz w:val="24"/>
          <w:szCs w:val="24"/>
        </w:rPr>
        <w:t>překonat nepříznivé životní situace.</w:t>
      </w:r>
      <w:bookmarkEnd w:id="11"/>
      <w:r w:rsidRPr="0039473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9A5962" w:rsidRDefault="009A5962" w:rsidP="009A5962">
      <w:pPr>
        <w:pStyle w:val="Nadpis2"/>
        <w:spacing w:before="0"/>
        <w:jc w:val="both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433703503"/>
      <w:r w:rsidRPr="0039473D">
        <w:rPr>
          <w:rFonts w:ascii="Arial" w:hAnsi="Arial" w:cs="Arial"/>
          <w:b w:val="0"/>
          <w:color w:val="auto"/>
          <w:sz w:val="24"/>
          <w:szCs w:val="24"/>
        </w:rPr>
        <w:t xml:space="preserve">Sociální pracovníci </w:t>
      </w:r>
      <w:r w:rsidRPr="00217B21">
        <w:rPr>
          <w:rFonts w:ascii="Arial" w:hAnsi="Arial" w:cs="Arial"/>
          <w:b w:val="0"/>
          <w:color w:val="auto"/>
          <w:sz w:val="24"/>
          <w:szCs w:val="24"/>
          <w:u w:val="single"/>
        </w:rPr>
        <w:t>terénního programu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39473D">
        <w:rPr>
          <w:rFonts w:ascii="Arial" w:hAnsi="Arial" w:cs="Arial"/>
          <w:b w:val="0"/>
          <w:color w:val="auto"/>
          <w:sz w:val="24"/>
          <w:szCs w:val="24"/>
        </w:rPr>
        <w:t>nabízí dětem a mládeži žijící na Praze 9 možnost aktivního trávení volného času. Sociální pracovníci především poskytují bezplatné informace, rady, podporu v životních tématech dospívajících, dále nabízejí pomoc s životními situacemi, se kterými si mladí lidé nevědí rady a jsou pro ně obtížně řešitelné.</w:t>
      </w:r>
      <w:bookmarkEnd w:id="12"/>
      <w:r w:rsidRPr="0039473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52A99">
        <w:rPr>
          <w:rFonts w:ascii="Arial" w:hAnsi="Arial" w:cs="Arial"/>
          <w:b/>
          <w:bCs/>
          <w:i/>
          <w:sz w:val="24"/>
          <w:szCs w:val="24"/>
        </w:rPr>
        <w:t>Občanské sdružení PROSPE</w:t>
      </w:r>
      <w:r w:rsidRPr="00A52A99">
        <w:rPr>
          <w:rFonts w:ascii="Arial" w:hAnsi="Arial" w:cs="Arial"/>
          <w:b/>
          <w:bCs/>
          <w:sz w:val="24"/>
          <w:szCs w:val="24"/>
        </w:rPr>
        <w:t> </w:t>
      </w:r>
      <w:r w:rsidRPr="00A52A99">
        <w:rPr>
          <w:rFonts w:ascii="Arial" w:hAnsi="Arial" w:cs="Arial"/>
          <w:sz w:val="24"/>
          <w:szCs w:val="24"/>
        </w:rPr>
        <w:t>vzniklo v roce 2005.</w:t>
      </w:r>
      <w:r>
        <w:rPr>
          <w:rFonts w:ascii="Arial" w:hAnsi="Arial" w:cs="Arial"/>
          <w:sz w:val="24"/>
          <w:szCs w:val="24"/>
        </w:rPr>
        <w:t xml:space="preserve"> </w:t>
      </w:r>
      <w:r w:rsidRPr="00A52A99">
        <w:rPr>
          <w:rFonts w:ascii="Arial" w:hAnsi="Arial" w:cs="Arial"/>
          <w:sz w:val="24"/>
          <w:szCs w:val="24"/>
        </w:rPr>
        <w:t xml:space="preserve">Hlavním cílem organizace je poskytovat kvalitní preventivní programy rizikového chování se specifickým zaměřením na prevenci zneužívání návykových látek. Práce s žáky a studenty </w:t>
      </w:r>
      <w:r>
        <w:rPr>
          <w:rFonts w:ascii="Arial" w:hAnsi="Arial" w:cs="Arial"/>
          <w:sz w:val="24"/>
          <w:szCs w:val="24"/>
        </w:rPr>
        <w:t>z</w:t>
      </w:r>
      <w:r w:rsidRPr="00A52A99">
        <w:rPr>
          <w:rFonts w:ascii="Arial" w:hAnsi="Arial" w:cs="Arial"/>
          <w:sz w:val="24"/>
          <w:szCs w:val="24"/>
        </w:rPr>
        <w:t>ákladních škol, středních škol a odborných učilišť.</w:t>
      </w: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52A99">
        <w:rPr>
          <w:rFonts w:ascii="Arial" w:hAnsi="Arial" w:cs="Arial"/>
          <w:sz w:val="24"/>
          <w:szCs w:val="24"/>
        </w:rPr>
        <w:t>Občanské sdružení PROSPE pracuje s žáky a studenty základních i středních škol a</w:t>
      </w:r>
      <w:r w:rsidR="009D29F8">
        <w:rPr>
          <w:rFonts w:ascii="Arial" w:hAnsi="Arial" w:cs="Arial"/>
          <w:sz w:val="24"/>
          <w:szCs w:val="24"/>
        </w:rPr>
        <w:t xml:space="preserve"> </w:t>
      </w:r>
      <w:r w:rsidRPr="00A52A99">
        <w:rPr>
          <w:rFonts w:ascii="Arial" w:hAnsi="Arial" w:cs="Arial"/>
          <w:sz w:val="24"/>
          <w:szCs w:val="24"/>
        </w:rPr>
        <w:t>odborných učilišť. Práce s touto cílovou skupinou směřuje k posílení sebevědomí a vlastní identity, přiměřeného prosazování svých skutečných potřeb, podpoře zdravého životního stylu, navazování a rozvíjení kvalitních mezilidských vztahů, předání potřebných informací o důsledcích rizikového chování, vhodných způsobech řešení problémů a hledání pomoci.</w:t>
      </w: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A5962" w:rsidRPr="0025087F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17B21">
        <w:rPr>
          <w:rFonts w:ascii="Arial" w:hAnsi="Arial" w:cs="Arial"/>
          <w:b/>
          <w:bCs/>
          <w:i/>
          <w:sz w:val="24"/>
          <w:szCs w:val="24"/>
        </w:rPr>
        <w:t xml:space="preserve">Projekt Odyssea,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o.s. </w:t>
      </w:r>
      <w:r>
        <w:rPr>
          <w:rFonts w:ascii="Arial" w:hAnsi="Arial" w:cs="Arial"/>
          <w:bCs/>
          <w:sz w:val="24"/>
          <w:szCs w:val="24"/>
        </w:rPr>
        <w:t xml:space="preserve"> - p</w:t>
      </w:r>
      <w:r w:rsidRPr="00217B21">
        <w:rPr>
          <w:rFonts w:ascii="Arial" w:hAnsi="Arial" w:cs="Arial"/>
          <w:bCs/>
          <w:sz w:val="24"/>
          <w:szCs w:val="24"/>
        </w:rPr>
        <w:t>omáh</w:t>
      </w:r>
      <w:r>
        <w:rPr>
          <w:rFonts w:ascii="Arial" w:hAnsi="Arial" w:cs="Arial"/>
          <w:bCs/>
          <w:sz w:val="24"/>
          <w:szCs w:val="24"/>
        </w:rPr>
        <w:t>á</w:t>
      </w:r>
      <w:r w:rsidRPr="00217B21">
        <w:rPr>
          <w:rFonts w:ascii="Arial" w:hAnsi="Arial" w:cs="Arial"/>
          <w:bCs/>
          <w:sz w:val="24"/>
          <w:szCs w:val="24"/>
        </w:rPr>
        <w:t xml:space="preserve"> školám při zavádění osobnostní a sociální výchovy do běžné praxe. Za tímto účelem společně se školami vyvíjí metodické materiály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217B21">
        <w:rPr>
          <w:rFonts w:ascii="Arial" w:hAnsi="Arial" w:cs="Arial"/>
          <w:bCs/>
          <w:sz w:val="24"/>
          <w:szCs w:val="24"/>
        </w:rPr>
        <w:t>provádí výzkum.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5087F">
        <w:rPr>
          <w:rFonts w:ascii="Arial" w:hAnsi="Arial" w:cs="Arial"/>
          <w:bCs/>
          <w:sz w:val="24"/>
          <w:szCs w:val="24"/>
        </w:rPr>
        <w:t>Projekt Odyssea realizuje také kurzy pro žáky (adaptační výjezdy a kurzy zaměřené na primární prevenci rizikového chování) i učitele (kurzy a výcviky pro učitelské sbory, individuální konzultace a supervizní setkání).</w:t>
      </w:r>
    </w:p>
    <w:p w:rsidR="009A5962" w:rsidRPr="00217B21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r w:rsidRPr="00217B21">
        <w:rPr>
          <w:rFonts w:ascii="Arial" w:hAnsi="Arial" w:cs="Arial"/>
          <w:bCs/>
          <w:i/>
          <w:sz w:val="24"/>
          <w:szCs w:val="24"/>
        </w:rPr>
        <w:t>Výše uvedené organizace jsou z pověření MŠMT certifikovány Národním ústavem pro vzdělávání pro realizaci programů školské primární prevence rizikového chování (</w:t>
      </w:r>
      <w:hyperlink r:id="rId8" w:history="1">
        <w:r w:rsidRPr="00217B21">
          <w:rPr>
            <w:rStyle w:val="Hypertextovodkaz"/>
            <w:rFonts w:ascii="Arial" w:hAnsi="Arial" w:cs="Arial"/>
            <w:bCs/>
            <w:i/>
            <w:sz w:val="24"/>
            <w:szCs w:val="24"/>
          </w:rPr>
          <w:t>http://www.nuv.cz/t/pprch/poskytovatele</w:t>
        </w:r>
      </w:hyperlink>
      <w:r w:rsidRPr="00217B21">
        <w:rPr>
          <w:rFonts w:ascii="Arial" w:hAnsi="Arial" w:cs="Arial"/>
          <w:bCs/>
          <w:i/>
          <w:sz w:val="24"/>
          <w:szCs w:val="24"/>
        </w:rPr>
        <w:t xml:space="preserve"> ) </w:t>
      </w: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24"/>
          <w:szCs w:val="24"/>
        </w:rPr>
      </w:pPr>
    </w:p>
    <w:p w:rsidR="009A5962" w:rsidRPr="00217B21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Městská část Praha 9 dále spolupracuje s následujícími organizacemi, které nemají certifikát pro realizaci PPRCH, avšak jejich preventivní programy na základě zkušeností škol považujeme za kvalitní, případně se jedná o organizace zřizované státem:     </w:t>
      </w: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9473D">
        <w:rPr>
          <w:rFonts w:ascii="Arial" w:hAnsi="Arial" w:cs="Arial"/>
          <w:b/>
          <w:bCs/>
          <w:i/>
          <w:sz w:val="24"/>
          <w:szCs w:val="24"/>
        </w:rPr>
        <w:t>Česká koalice proti tabáku</w:t>
      </w:r>
      <w:r w:rsidRPr="0039473D">
        <w:rPr>
          <w:rFonts w:ascii="Arial" w:hAnsi="Arial" w:cs="Arial"/>
          <w:sz w:val="24"/>
          <w:szCs w:val="24"/>
        </w:rPr>
        <w:t xml:space="preserve"> je nevládní organizací sdružující fyzické a právnické osoby, které se podílejí na všech aktivitách podporujících rozhodnutí kuřáků přestat kouřit.</w:t>
      </w:r>
      <w:r>
        <w:rPr>
          <w:rFonts w:ascii="Arial" w:hAnsi="Arial" w:cs="Arial"/>
          <w:sz w:val="24"/>
          <w:szCs w:val="24"/>
        </w:rPr>
        <w:t xml:space="preserve"> </w:t>
      </w:r>
      <w:r w:rsidRPr="00217B21">
        <w:rPr>
          <w:rFonts w:ascii="Arial" w:hAnsi="Arial" w:cs="Arial"/>
          <w:sz w:val="24"/>
          <w:szCs w:val="24"/>
        </w:rPr>
        <w:t>ČKPT je členem Framework Convention Alliance, mezinárodního sdružení více než 180 organizací, které podporují Rámcovou úmluvu o kontrole tabáku a aktivně se účastnily její přípravy.</w:t>
      </w: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17B21">
        <w:rPr>
          <w:rFonts w:ascii="Arial" w:hAnsi="Arial" w:cs="Arial"/>
          <w:bCs/>
          <w:sz w:val="24"/>
          <w:szCs w:val="24"/>
        </w:rPr>
        <w:t xml:space="preserve">Preventivní programy České koalice proti tabáku </w:t>
      </w:r>
      <w:r w:rsidRPr="00217B21">
        <w:rPr>
          <w:rFonts w:ascii="Arial" w:hAnsi="Arial" w:cs="Arial"/>
          <w:sz w:val="24"/>
          <w:szCs w:val="24"/>
        </w:rPr>
        <w:t>se již od roku 2005 systematicky zaměřují na problematiku tabakismu u žáků ZŠ a SŠ.</w:t>
      </w: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9A5962" w:rsidRPr="0025087F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087F">
        <w:rPr>
          <w:rFonts w:ascii="Arial" w:hAnsi="Arial" w:cs="Arial"/>
          <w:b/>
          <w:i/>
          <w:sz w:val="24"/>
          <w:szCs w:val="24"/>
        </w:rPr>
        <w:t>Občanské sdružení PRAK – Sdružení pro prevenci kriminality</w:t>
      </w:r>
      <w:r w:rsidRPr="0025087F">
        <w:rPr>
          <w:rFonts w:ascii="Arial" w:hAnsi="Arial" w:cs="Arial"/>
          <w:sz w:val="24"/>
          <w:szCs w:val="24"/>
        </w:rPr>
        <w:t xml:space="preserve"> vzniklo v roce 2003 registrací u Ministerstva vnitra.</w:t>
      </w:r>
    </w:p>
    <w:p w:rsidR="009A5962" w:rsidRPr="0025087F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087F">
        <w:rPr>
          <w:rFonts w:ascii="Arial" w:hAnsi="Arial" w:cs="Arial"/>
          <w:sz w:val="24"/>
          <w:szCs w:val="24"/>
        </w:rPr>
        <w:t xml:space="preserve">Projekty o.s. Prak jsou velmi flexibilní. Organizace nabízí školám v rámci projektu prevence kriminality a rodinné výchovy </w:t>
      </w:r>
      <w:r>
        <w:rPr>
          <w:rFonts w:ascii="Arial" w:hAnsi="Arial" w:cs="Arial"/>
          <w:sz w:val="24"/>
          <w:szCs w:val="24"/>
        </w:rPr>
        <w:t>různorodé b</w:t>
      </w:r>
      <w:r w:rsidRPr="0025087F">
        <w:rPr>
          <w:rFonts w:ascii="Arial" w:hAnsi="Arial" w:cs="Arial"/>
          <w:sz w:val="24"/>
          <w:szCs w:val="24"/>
        </w:rPr>
        <w:t>esedy, ze kterých si školy mohou vybrat. Na žádost školy je možné vytvořit program šitý na míru.</w:t>
      </w:r>
    </w:p>
    <w:p w:rsidR="009A5962" w:rsidRPr="0025087F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Mezi nabízené činnosti sdružení patří např. e</w:t>
      </w:r>
      <w:r w:rsidRPr="0025087F">
        <w:rPr>
          <w:rFonts w:ascii="Arial" w:hAnsi="Arial" w:cs="Arial"/>
          <w:sz w:val="24"/>
          <w:szCs w:val="24"/>
        </w:rPr>
        <w:t>xkurze do věznic</w:t>
      </w:r>
      <w:r>
        <w:rPr>
          <w:rFonts w:ascii="Arial" w:hAnsi="Arial" w:cs="Arial"/>
          <w:sz w:val="24"/>
          <w:szCs w:val="24"/>
        </w:rPr>
        <w:t>, s</w:t>
      </w:r>
      <w:r w:rsidRPr="0025087F">
        <w:rPr>
          <w:rFonts w:ascii="Arial" w:hAnsi="Arial" w:cs="Arial"/>
          <w:sz w:val="24"/>
          <w:szCs w:val="24"/>
        </w:rPr>
        <w:t xml:space="preserve">emináře a besedy k tématům vězeňství, trestní odpovědnost, prevence kriminality, návykové látky, šikana, rasismus, etika </w:t>
      </w:r>
      <w:r>
        <w:rPr>
          <w:rFonts w:ascii="Arial" w:hAnsi="Arial" w:cs="Arial"/>
          <w:sz w:val="24"/>
          <w:szCs w:val="24"/>
        </w:rPr>
        <w:t>atd.</w:t>
      </w:r>
    </w:p>
    <w:p w:rsidR="009A5962" w:rsidRDefault="009A5962" w:rsidP="009A596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9A5962" w:rsidRDefault="009A5962" w:rsidP="009A596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  <w:r w:rsidRPr="005F0C2F">
        <w:rPr>
          <w:rFonts w:ascii="Arial" w:hAnsi="Arial" w:cs="Arial"/>
          <w:b/>
          <w:i/>
          <w:sz w:val="24"/>
          <w:szCs w:val="24"/>
        </w:rPr>
        <w:t>Státní zdravotní ústav – Centrum podpory veřejného zdraví</w:t>
      </w: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spolupráci s </w:t>
      </w:r>
      <w:r w:rsidRPr="005F0C2F">
        <w:rPr>
          <w:rFonts w:ascii="Arial" w:hAnsi="Arial" w:cs="Arial"/>
          <w:sz w:val="24"/>
          <w:szCs w:val="24"/>
        </w:rPr>
        <w:t>manažer</w:t>
      </w:r>
      <w:r>
        <w:rPr>
          <w:rFonts w:ascii="Arial" w:hAnsi="Arial" w:cs="Arial"/>
          <w:sz w:val="24"/>
          <w:szCs w:val="24"/>
        </w:rPr>
        <w:t>em</w:t>
      </w:r>
      <w:r w:rsidRPr="005F0C2F">
        <w:rPr>
          <w:rFonts w:ascii="Arial" w:hAnsi="Arial" w:cs="Arial"/>
          <w:sz w:val="24"/>
          <w:szCs w:val="24"/>
        </w:rPr>
        <w:t xml:space="preserve"> Národního programu boje proti AIDS</w:t>
      </w:r>
      <w:r>
        <w:rPr>
          <w:rFonts w:ascii="Arial" w:hAnsi="Arial" w:cs="Arial"/>
          <w:sz w:val="24"/>
          <w:szCs w:val="24"/>
        </w:rPr>
        <w:t xml:space="preserve"> jsou na SŠ realizovány besedy pro žáky na téma HIV/AIDS a jeho přenosu (rizikové sexuální chování, injekční užívání OPL apod.).</w:t>
      </w: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A5962" w:rsidRPr="005F0C2F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5F0C2F">
        <w:rPr>
          <w:rFonts w:ascii="Arial" w:hAnsi="Arial" w:cs="Arial"/>
          <w:b/>
          <w:i/>
          <w:sz w:val="24"/>
          <w:szCs w:val="24"/>
        </w:rPr>
        <w:t xml:space="preserve">Pedagogicko-psychologická poradna pro Prahu 3 a 9 </w:t>
      </w: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spolupráci s metodikem prevence PPP jsou školám nabízeny mj. následující služby:</w:t>
      </w:r>
    </w:p>
    <w:p w:rsidR="009A5962" w:rsidRPr="005F0C2F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F0C2F">
        <w:rPr>
          <w:rFonts w:ascii="Arial" w:hAnsi="Arial" w:cs="Arial"/>
          <w:sz w:val="24"/>
          <w:szCs w:val="24"/>
        </w:rPr>
        <w:t xml:space="preserve">pomoc při řešení nepohody ve třídním kolektivu, možnost spolupráce při řešení šikany (stádium 1. - 3.) </w:t>
      </w:r>
    </w:p>
    <w:p w:rsidR="009A5962" w:rsidRPr="005F0C2F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F0C2F">
        <w:rPr>
          <w:rFonts w:ascii="Arial" w:hAnsi="Arial" w:cs="Arial"/>
          <w:sz w:val="24"/>
          <w:szCs w:val="24"/>
        </w:rPr>
        <w:t xml:space="preserve">sociometrické zmapování klimatu ve třídě s následnou konzultací </w:t>
      </w:r>
    </w:p>
    <w:p w:rsidR="009A5962" w:rsidRDefault="009A5962" w:rsidP="009A59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F0C2F">
        <w:rPr>
          <w:rFonts w:ascii="Arial" w:hAnsi="Arial" w:cs="Arial"/>
          <w:sz w:val="24"/>
          <w:szCs w:val="24"/>
        </w:rPr>
        <w:t xml:space="preserve">program selektivní prevence TANDEM </w:t>
      </w:r>
    </w:p>
    <w:p w:rsidR="003E2C6C" w:rsidRDefault="003E2C6C" w:rsidP="003E2C6C">
      <w:pPr>
        <w:pStyle w:val="Nadpis1"/>
        <w:jc w:val="right"/>
        <w:rPr>
          <w:rFonts w:cs="Arial"/>
          <w:sz w:val="24"/>
          <w:szCs w:val="24"/>
        </w:rPr>
      </w:pPr>
    </w:p>
    <w:p w:rsidR="003E2C6C" w:rsidRPr="003E2C6C" w:rsidRDefault="003E2C6C" w:rsidP="003E2C6C">
      <w:pPr>
        <w:pStyle w:val="Nadpis1"/>
        <w:jc w:val="right"/>
        <w:rPr>
          <w:rFonts w:cs="Arial"/>
          <w:sz w:val="24"/>
          <w:szCs w:val="24"/>
        </w:rPr>
      </w:pPr>
      <w:bookmarkStart w:id="13" w:name="_Toc433703504"/>
      <w:r w:rsidRPr="003E2C6C">
        <w:rPr>
          <w:rFonts w:cs="Arial"/>
          <w:sz w:val="24"/>
          <w:szCs w:val="24"/>
        </w:rPr>
        <w:t>Příloha č. 2</w:t>
      </w:r>
      <w:bookmarkEnd w:id="13"/>
    </w:p>
    <w:p w:rsidR="003E2C6C" w:rsidRPr="00754B41" w:rsidRDefault="003E2C6C" w:rsidP="003E2C6C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754B41">
        <w:rPr>
          <w:b/>
          <w:sz w:val="28"/>
          <w:szCs w:val="28"/>
          <w:u w:val="single"/>
        </w:rPr>
        <w:t>Protidrogová politika (ORJ 571, Odd. § 3541)</w:t>
      </w:r>
    </w:p>
    <w:p w:rsidR="003E2C6C" w:rsidRPr="00754B41" w:rsidRDefault="003E2C6C" w:rsidP="003E2C6C">
      <w:pPr>
        <w:spacing w:after="0" w:line="360" w:lineRule="auto"/>
        <w:jc w:val="center"/>
        <w:rPr>
          <w:b/>
        </w:rPr>
      </w:pPr>
      <w:r w:rsidRPr="00754B41">
        <w:rPr>
          <w:b/>
        </w:rPr>
        <w:t xml:space="preserve"> komentář k návrhu rozpočtu na rok 201</w:t>
      </w:r>
      <w:r w:rsidR="009D29F8">
        <w:rPr>
          <w:b/>
        </w:rPr>
        <w:t>7</w:t>
      </w:r>
    </w:p>
    <w:p w:rsidR="003E2C6C" w:rsidRDefault="003E2C6C" w:rsidP="003E2C6C">
      <w:pPr>
        <w:spacing w:after="0"/>
        <w:jc w:val="both"/>
        <w:rPr>
          <w:b/>
          <w:u w:val="single"/>
        </w:rPr>
      </w:pPr>
    </w:p>
    <w:p w:rsidR="003E2C6C" w:rsidRPr="00754B41" w:rsidRDefault="003E2C6C" w:rsidP="003E2C6C">
      <w:pPr>
        <w:spacing w:after="0"/>
        <w:jc w:val="both"/>
        <w:rPr>
          <w:b/>
          <w:u w:val="single"/>
        </w:rPr>
      </w:pPr>
      <w:r w:rsidRPr="00754B41">
        <w:rPr>
          <w:b/>
          <w:u w:val="single"/>
        </w:rPr>
        <w:t>Finanční prostředky z rozpočtu MČ Praha 9</w:t>
      </w:r>
    </w:p>
    <w:p w:rsidR="003E2C6C" w:rsidRDefault="003E2C6C" w:rsidP="003E2C6C">
      <w:pPr>
        <w:spacing w:after="0"/>
        <w:jc w:val="both"/>
      </w:pPr>
      <w:r w:rsidRPr="00BF4931">
        <w:rPr>
          <w:b/>
        </w:rPr>
        <w:t xml:space="preserve">Celkem </w:t>
      </w:r>
      <w:r w:rsidR="006A33BF">
        <w:rPr>
          <w:b/>
        </w:rPr>
        <w:t xml:space="preserve">bude na rok 2017 </w:t>
      </w:r>
      <w:r w:rsidRPr="00BF4931">
        <w:rPr>
          <w:b/>
        </w:rPr>
        <w:t>žádáno o 4</w:t>
      </w:r>
      <w:r>
        <w:rPr>
          <w:b/>
        </w:rPr>
        <w:t>20</w:t>
      </w:r>
      <w:r w:rsidRPr="00BF4931">
        <w:rPr>
          <w:b/>
        </w:rPr>
        <w:t>.000 Kč</w:t>
      </w:r>
      <w:r>
        <w:rPr>
          <w:b/>
        </w:rPr>
        <w:t xml:space="preserve">. </w:t>
      </w:r>
    </w:p>
    <w:p w:rsidR="003E2C6C" w:rsidRPr="003A7D25" w:rsidRDefault="003E2C6C" w:rsidP="003E2C6C">
      <w:pPr>
        <w:spacing w:after="0"/>
        <w:jc w:val="both"/>
        <w:rPr>
          <w:u w:val="single"/>
        </w:rPr>
      </w:pPr>
    </w:p>
    <w:p w:rsidR="003E2C6C" w:rsidRPr="003A7D25" w:rsidRDefault="003E2C6C" w:rsidP="003E2C6C">
      <w:pPr>
        <w:spacing w:after="0"/>
        <w:jc w:val="both"/>
        <w:rPr>
          <w:u w:val="single"/>
        </w:rPr>
      </w:pPr>
      <w:r>
        <w:rPr>
          <w:u w:val="single"/>
        </w:rPr>
        <w:t>Knihy, učební pomůcky, tisk</w:t>
      </w:r>
      <w:r w:rsidRPr="003A7D25">
        <w:rPr>
          <w:u w:val="single"/>
        </w:rPr>
        <w:t>:</w:t>
      </w:r>
    </w:p>
    <w:p w:rsidR="003E2C6C" w:rsidRPr="00BF4931" w:rsidRDefault="003E2C6C" w:rsidP="003E2C6C">
      <w:pPr>
        <w:spacing w:after="0"/>
        <w:jc w:val="both"/>
      </w:pPr>
      <w:r w:rsidRPr="00BF4931">
        <w:t>Navrhována částka ve výši 2</w:t>
      </w:r>
      <w:r>
        <w:t>0</w:t>
      </w:r>
      <w:r w:rsidRPr="00BF4931">
        <w:t xml:space="preserve">.000,- Kč. Bude využito </w:t>
      </w:r>
      <w:r>
        <w:t>na koupi</w:t>
      </w:r>
      <w:r w:rsidRPr="00BF4931">
        <w:t xml:space="preserve"> odborné literatury a v rámci prevence pro školy </w:t>
      </w:r>
      <w:r>
        <w:t>(např. předplatné časopisu Prevence pro školní metodiky prevence)</w:t>
      </w:r>
      <w:r w:rsidRPr="00BF4931">
        <w:t xml:space="preserve">. </w:t>
      </w:r>
    </w:p>
    <w:p w:rsidR="003E2C6C" w:rsidRPr="00BF4931" w:rsidRDefault="003E2C6C" w:rsidP="003E2C6C">
      <w:pPr>
        <w:spacing w:after="0"/>
        <w:jc w:val="both"/>
      </w:pPr>
      <w:r w:rsidRPr="00BF4931">
        <w:t xml:space="preserve">  </w:t>
      </w:r>
    </w:p>
    <w:p w:rsidR="003E2C6C" w:rsidRPr="00BF4931" w:rsidRDefault="003E2C6C" w:rsidP="003E2C6C">
      <w:pPr>
        <w:spacing w:after="0"/>
        <w:jc w:val="both"/>
        <w:rPr>
          <w:u w:val="single"/>
        </w:rPr>
      </w:pPr>
      <w:r w:rsidRPr="00BF4931">
        <w:rPr>
          <w:u w:val="single"/>
        </w:rPr>
        <w:t>Služby školení a vzdělávání</w:t>
      </w:r>
    </w:p>
    <w:p w:rsidR="003E2C6C" w:rsidRPr="00BF4931" w:rsidRDefault="003E2C6C" w:rsidP="003E2C6C">
      <w:pPr>
        <w:spacing w:after="0"/>
        <w:jc w:val="both"/>
      </w:pPr>
      <w:r w:rsidRPr="00BF4931">
        <w:t xml:space="preserve">Navrhováno přidělit </w:t>
      </w:r>
      <w:r w:rsidR="006A33BF">
        <w:t>1</w:t>
      </w:r>
      <w:r w:rsidRPr="00BF4931">
        <w:t xml:space="preserve">5.000,- </w:t>
      </w:r>
      <w:r>
        <w:t xml:space="preserve">Kč. </w:t>
      </w:r>
      <w:r w:rsidRPr="00BF4931">
        <w:t>Bude využito na školení a vzdělávání pro protidrogového koordinátora a školní metodiky prevence ze ZŠ zřizovaných MČ Praha 9.</w:t>
      </w:r>
    </w:p>
    <w:p w:rsidR="003E2C6C" w:rsidRPr="00BF4931" w:rsidRDefault="003E2C6C" w:rsidP="003E2C6C">
      <w:pPr>
        <w:spacing w:after="0"/>
        <w:jc w:val="both"/>
        <w:rPr>
          <w:u w:val="single"/>
        </w:rPr>
      </w:pPr>
    </w:p>
    <w:p w:rsidR="003E2C6C" w:rsidRPr="00BF4931" w:rsidRDefault="003E2C6C" w:rsidP="003E2C6C">
      <w:pPr>
        <w:spacing w:after="0"/>
        <w:jc w:val="both"/>
        <w:rPr>
          <w:u w:val="single"/>
        </w:rPr>
      </w:pPr>
      <w:r w:rsidRPr="00BF4931">
        <w:rPr>
          <w:u w:val="single"/>
        </w:rPr>
        <w:t>Nákup ostatních služeb</w:t>
      </w:r>
    </w:p>
    <w:p w:rsidR="003E2C6C" w:rsidRPr="00BF4931" w:rsidRDefault="003E2C6C" w:rsidP="003E2C6C">
      <w:pPr>
        <w:spacing w:after="0"/>
        <w:jc w:val="both"/>
      </w:pPr>
      <w:r>
        <w:t xml:space="preserve">Požadována částka </w:t>
      </w:r>
      <w:r w:rsidRPr="00BF4931">
        <w:t>373.000,- Kč</w:t>
      </w:r>
      <w:r>
        <w:t>.</w:t>
      </w:r>
      <w:r w:rsidRPr="00BF4931">
        <w:t xml:space="preserve"> Bude využito převážně v rámci primární prevence na školách (prevence užívání drog, alkoholu a kouření; potírání šikany, extremismu, kriminality) </w:t>
      </w:r>
      <w:r>
        <w:t>v</w:t>
      </w:r>
      <w:r w:rsidRPr="00BF4931">
        <w:t>č</w:t>
      </w:r>
      <w:r>
        <w:t>.</w:t>
      </w:r>
      <w:r w:rsidRPr="00BF4931">
        <w:t xml:space="preserve"> příspěvků školám na adaptační kurzy. </w:t>
      </w:r>
      <w:r>
        <w:t>Dále</w:t>
      </w:r>
      <w:r w:rsidRPr="00BF4931">
        <w:t xml:space="preserve"> hrazena terénní práce (terciární prevence od Drop In</w:t>
      </w:r>
      <w:r>
        <w:t>, o.p.s.</w:t>
      </w:r>
      <w:r w:rsidRPr="00BF4931">
        <w:t xml:space="preserve"> – sběr a výměna injekčního materiálu) a další </w:t>
      </w:r>
      <w:r>
        <w:t xml:space="preserve">protidrogové </w:t>
      </w:r>
      <w:r w:rsidRPr="00BF4931">
        <w:t xml:space="preserve">aktivity. </w:t>
      </w:r>
    </w:p>
    <w:p w:rsidR="003E2C6C" w:rsidRPr="00BF4931" w:rsidRDefault="003E2C6C" w:rsidP="003E2C6C">
      <w:pPr>
        <w:spacing w:after="0"/>
        <w:jc w:val="both"/>
      </w:pPr>
    </w:p>
    <w:p w:rsidR="003E2C6C" w:rsidRPr="00BF4931" w:rsidRDefault="003E2C6C" w:rsidP="003E2C6C">
      <w:pPr>
        <w:spacing w:after="0"/>
        <w:jc w:val="both"/>
        <w:rPr>
          <w:u w:val="single"/>
        </w:rPr>
      </w:pPr>
      <w:r w:rsidRPr="00BF4931">
        <w:rPr>
          <w:u w:val="single"/>
        </w:rPr>
        <w:t>Pohoštění:</w:t>
      </w:r>
    </w:p>
    <w:p w:rsidR="003E2C6C" w:rsidRPr="00BF4931" w:rsidRDefault="003E2C6C" w:rsidP="003E2C6C">
      <w:pPr>
        <w:spacing w:after="0"/>
        <w:jc w:val="both"/>
      </w:pPr>
      <w:r w:rsidRPr="00BF4931">
        <w:t>V rozpočtu na rok 201</w:t>
      </w:r>
      <w:r w:rsidR="006A33BF">
        <w:t>7</w:t>
      </w:r>
      <w:r w:rsidRPr="00BF4931">
        <w:t xml:space="preserve"> navrhujeme 2.000 Kč. </w:t>
      </w:r>
    </w:p>
    <w:p w:rsidR="003E2C6C" w:rsidRDefault="003E2C6C" w:rsidP="003E2C6C">
      <w:pPr>
        <w:spacing w:after="0"/>
        <w:jc w:val="both"/>
      </w:pPr>
      <w:r>
        <w:t xml:space="preserve">Bude využito na nákup drobného občerstvení při jednáních na OS a při setkáních s občany. </w:t>
      </w:r>
    </w:p>
    <w:p w:rsidR="003E2C6C" w:rsidRDefault="003E2C6C" w:rsidP="003E2C6C">
      <w:pPr>
        <w:spacing w:after="0"/>
        <w:jc w:val="both"/>
      </w:pPr>
    </w:p>
    <w:p w:rsidR="003E2C6C" w:rsidRDefault="003E2C6C" w:rsidP="003E2C6C">
      <w:pPr>
        <w:spacing w:after="0"/>
        <w:jc w:val="both"/>
        <w:rPr>
          <w:u w:val="single"/>
        </w:rPr>
      </w:pPr>
      <w:r w:rsidRPr="00CC45E0">
        <w:rPr>
          <w:u w:val="single"/>
        </w:rPr>
        <w:t>Věcné dary:</w:t>
      </w:r>
    </w:p>
    <w:p w:rsidR="003E2C6C" w:rsidRDefault="003E2C6C" w:rsidP="003E2C6C">
      <w:pPr>
        <w:spacing w:after="0"/>
        <w:jc w:val="both"/>
      </w:pPr>
      <w:r>
        <w:t>Požadováno 10 tisíc Kč, bude použito na odměny pro účastníky obvodního kola filmového festivalu „Antifetfest“ pro děti a mládež.</w:t>
      </w:r>
    </w:p>
    <w:p w:rsidR="003E2C6C" w:rsidRDefault="003E2C6C" w:rsidP="003E2C6C">
      <w:pPr>
        <w:spacing w:after="0"/>
        <w:jc w:val="both"/>
      </w:pPr>
    </w:p>
    <w:p w:rsidR="003E2C6C" w:rsidRDefault="006A33BF" w:rsidP="003E2C6C">
      <w:pPr>
        <w:spacing w:after="0"/>
        <w:jc w:val="both"/>
      </w:pPr>
      <w:r>
        <w:t>Dne 26. 9. 2016</w:t>
      </w:r>
      <w:r w:rsidR="003E2C6C">
        <w:t xml:space="preserve"> </w:t>
      </w:r>
    </w:p>
    <w:p w:rsidR="003E2C6C" w:rsidRDefault="003E2C6C" w:rsidP="003E2C6C">
      <w:pPr>
        <w:spacing w:after="0"/>
        <w:jc w:val="both"/>
      </w:pPr>
    </w:p>
    <w:p w:rsidR="006A33BF" w:rsidRDefault="006A33BF" w:rsidP="003E2C6C">
      <w:pPr>
        <w:spacing w:after="0"/>
        <w:jc w:val="both"/>
      </w:pPr>
    </w:p>
    <w:p w:rsidR="006A33BF" w:rsidRDefault="006A33BF" w:rsidP="003E2C6C">
      <w:pPr>
        <w:spacing w:after="0"/>
        <w:jc w:val="both"/>
      </w:pPr>
    </w:p>
    <w:p w:rsidR="006A33BF" w:rsidRDefault="006A33BF" w:rsidP="003E2C6C">
      <w:pPr>
        <w:spacing w:after="0"/>
        <w:jc w:val="both"/>
      </w:pPr>
    </w:p>
    <w:p w:rsidR="006A33BF" w:rsidRDefault="006A33BF" w:rsidP="003E2C6C">
      <w:pPr>
        <w:spacing w:after="0"/>
        <w:jc w:val="both"/>
      </w:pPr>
    </w:p>
    <w:p w:rsidR="006A33BF" w:rsidRDefault="006A33BF" w:rsidP="003E2C6C">
      <w:pPr>
        <w:spacing w:after="0"/>
        <w:jc w:val="both"/>
      </w:pPr>
    </w:p>
    <w:p w:rsidR="003E2C6C" w:rsidRDefault="003E2C6C" w:rsidP="003E2C6C">
      <w:pPr>
        <w:spacing w:after="0"/>
        <w:ind w:left="3828" w:hanging="142"/>
        <w:jc w:val="both"/>
      </w:pPr>
      <w:r>
        <w:t xml:space="preserve">    </w:t>
      </w:r>
      <w:r w:rsidR="006A33BF">
        <w:t xml:space="preserve">   Markéta Ručková</w:t>
      </w:r>
    </w:p>
    <w:p w:rsidR="00860332" w:rsidRDefault="003E2C6C" w:rsidP="00860332">
      <w:pPr>
        <w:spacing w:after="0"/>
        <w:ind w:left="3402" w:firstLine="138"/>
        <w:jc w:val="both"/>
        <w:rPr>
          <w:rFonts w:ascii="Arial" w:hAnsi="Arial" w:cs="Arial"/>
          <w:sz w:val="24"/>
          <w:szCs w:val="24"/>
        </w:rPr>
      </w:pPr>
      <w:r>
        <w:t xml:space="preserve"> protidrogový koordinátor</w:t>
      </w:r>
    </w:p>
    <w:p w:rsidR="00A42921" w:rsidRDefault="00CC3DDE" w:rsidP="00A42921">
      <w:pPr>
        <w:pStyle w:val="Nadpis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2921">
        <w:t>Příloha č. 3</w:t>
      </w:r>
    </w:p>
    <w:p w:rsidR="00CC3DDE" w:rsidRPr="00B14E3B" w:rsidRDefault="00CC3DDE" w:rsidP="00CC3DDE">
      <w:pPr>
        <w:pStyle w:val="Nadpis2"/>
        <w:jc w:val="right"/>
      </w:pPr>
    </w:p>
    <w:p w:rsidR="00CC3DDE" w:rsidRDefault="00CC3DDE" w:rsidP="00CC3D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C3DDE" w:rsidRDefault="00BB6AFA" w:rsidP="00CC3D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Seznam členů K</w:t>
      </w:r>
      <w:r w:rsidR="00CC3DDE">
        <w:rPr>
          <w:rFonts w:ascii="Arial" w:hAnsi="Arial" w:cs="Arial"/>
          <w:sz w:val="24"/>
          <w:szCs w:val="24"/>
        </w:rPr>
        <w:t xml:space="preserve">omise </w:t>
      </w:r>
      <w:r>
        <w:rPr>
          <w:rFonts w:ascii="Arial" w:hAnsi="Arial" w:cs="Arial"/>
          <w:sz w:val="24"/>
          <w:szCs w:val="24"/>
        </w:rPr>
        <w:t xml:space="preserve">bezpečnostní a protidrogové </w:t>
      </w:r>
      <w:r w:rsidR="00CC3DDE">
        <w:rPr>
          <w:rFonts w:ascii="Arial" w:hAnsi="Arial" w:cs="Arial"/>
          <w:sz w:val="24"/>
          <w:szCs w:val="24"/>
        </w:rPr>
        <w:t xml:space="preserve">RMČ Praha 9:  </w:t>
      </w:r>
    </w:p>
    <w:p w:rsidR="00CC3DDE" w:rsidRDefault="00CC3DDE" w:rsidP="00CC3D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B6AFA" w:rsidRDefault="00BB6AFA" w:rsidP="00CC3DD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C3DDE" w:rsidRPr="00BB6AFA" w:rsidRDefault="00CC3DDE" w:rsidP="00CC3DDE">
      <w:pPr>
        <w:pStyle w:val="Nadpis3"/>
        <w:spacing w:before="0"/>
        <w:rPr>
          <w:sz w:val="24"/>
          <w:szCs w:val="24"/>
        </w:rPr>
      </w:pPr>
      <w:bookmarkStart w:id="14" w:name="_Toc433703506"/>
      <w:r w:rsidRPr="00BB6AFA">
        <w:rPr>
          <w:rStyle w:val="Siln"/>
          <w:b/>
          <w:bCs/>
          <w:sz w:val="24"/>
          <w:szCs w:val="24"/>
          <w:u w:val="single"/>
        </w:rPr>
        <w:t>Komise bezpečnostní a protidrogová /KBP/</w:t>
      </w:r>
      <w:bookmarkEnd w:id="14"/>
    </w:p>
    <w:p w:rsidR="00BB6AFA" w:rsidRDefault="00BB6AFA" w:rsidP="00CC3DDE">
      <w:pPr>
        <w:pStyle w:val="Nadpis4"/>
        <w:spacing w:before="0"/>
        <w:rPr>
          <w:sz w:val="24"/>
          <w:szCs w:val="24"/>
        </w:rPr>
      </w:pPr>
    </w:p>
    <w:p w:rsidR="00CC3DDE" w:rsidRPr="00BB6AFA" w:rsidRDefault="00CC3DDE" w:rsidP="00CC3DDE">
      <w:pPr>
        <w:pStyle w:val="Nadpis4"/>
        <w:spacing w:before="0"/>
        <w:rPr>
          <w:sz w:val="24"/>
          <w:szCs w:val="24"/>
        </w:rPr>
      </w:pPr>
      <w:r w:rsidRPr="00BB6AFA">
        <w:rPr>
          <w:sz w:val="24"/>
          <w:szCs w:val="24"/>
        </w:rPr>
        <w:t>Předseda:                         </w:t>
      </w:r>
    </w:p>
    <w:p w:rsidR="00CC3DDE" w:rsidRPr="00BB6AFA" w:rsidRDefault="00CC3DDE" w:rsidP="00CC3DDE">
      <w:pPr>
        <w:pStyle w:val="Normlnweb"/>
        <w:spacing w:before="0" w:beforeAutospacing="0" w:after="0" w:afterAutospacing="0" w:line="276" w:lineRule="auto"/>
        <w:rPr>
          <w:rFonts w:asciiTheme="majorHAnsi" w:hAnsiTheme="majorHAnsi"/>
        </w:rPr>
      </w:pPr>
      <w:r w:rsidRPr="00BB6AFA">
        <w:rPr>
          <w:rFonts w:asciiTheme="majorHAnsi" w:hAnsiTheme="majorHAnsi"/>
        </w:rPr>
        <w:t>Daniel W</w:t>
      </w:r>
      <w:r w:rsidR="00C357BB">
        <w:rPr>
          <w:rFonts w:asciiTheme="majorHAnsi" w:hAnsiTheme="majorHAnsi"/>
        </w:rPr>
        <w:t>a</w:t>
      </w:r>
      <w:r w:rsidRPr="00BB6AFA">
        <w:rPr>
          <w:rFonts w:asciiTheme="majorHAnsi" w:hAnsiTheme="majorHAnsi"/>
        </w:rPr>
        <w:t>lbr</w:t>
      </w:r>
      <w:r w:rsidR="00C357BB">
        <w:rPr>
          <w:rFonts w:asciiTheme="majorHAnsi" w:hAnsiTheme="majorHAnsi"/>
        </w:rPr>
        <w:t>ö</w:t>
      </w:r>
      <w:r w:rsidRPr="00BB6AFA">
        <w:rPr>
          <w:rFonts w:asciiTheme="majorHAnsi" w:hAnsiTheme="majorHAnsi"/>
        </w:rPr>
        <w:t>l</w:t>
      </w:r>
    </w:p>
    <w:p w:rsidR="00BB6AFA" w:rsidRDefault="00BB6AFA" w:rsidP="00CC3DDE">
      <w:pPr>
        <w:pStyle w:val="Nadpis4"/>
        <w:spacing w:before="0"/>
        <w:rPr>
          <w:sz w:val="24"/>
          <w:szCs w:val="24"/>
        </w:rPr>
      </w:pPr>
    </w:p>
    <w:p w:rsidR="00CC3DDE" w:rsidRPr="00BB6AFA" w:rsidRDefault="00CC3DDE" w:rsidP="00CC3DDE">
      <w:pPr>
        <w:pStyle w:val="Nadpis4"/>
        <w:spacing w:before="0"/>
        <w:rPr>
          <w:sz w:val="24"/>
          <w:szCs w:val="24"/>
        </w:rPr>
      </w:pPr>
      <w:r w:rsidRPr="00BB6AFA">
        <w:rPr>
          <w:sz w:val="24"/>
          <w:szCs w:val="24"/>
        </w:rPr>
        <w:t>Místopředseda:                              </w:t>
      </w:r>
    </w:p>
    <w:p w:rsidR="00CC3DDE" w:rsidRPr="00BB6AFA" w:rsidRDefault="00CC3DDE" w:rsidP="00CC3DDE">
      <w:pPr>
        <w:pStyle w:val="Normlnweb"/>
        <w:spacing w:before="0" w:beforeAutospacing="0" w:after="0" w:afterAutospacing="0" w:line="276" w:lineRule="auto"/>
        <w:rPr>
          <w:rFonts w:asciiTheme="majorHAnsi" w:hAnsiTheme="majorHAnsi"/>
        </w:rPr>
      </w:pPr>
      <w:r w:rsidRPr="00BB6AFA">
        <w:rPr>
          <w:rFonts w:asciiTheme="majorHAnsi" w:hAnsiTheme="majorHAnsi"/>
        </w:rPr>
        <w:t>Bc. Jan Poupě</w:t>
      </w:r>
    </w:p>
    <w:p w:rsidR="00BB6AFA" w:rsidRDefault="00BB6AFA" w:rsidP="00CC3DDE">
      <w:pPr>
        <w:pStyle w:val="Nadpis4"/>
        <w:spacing w:before="0"/>
        <w:rPr>
          <w:sz w:val="24"/>
          <w:szCs w:val="24"/>
        </w:rPr>
      </w:pPr>
    </w:p>
    <w:p w:rsidR="00CC3DDE" w:rsidRPr="00BB6AFA" w:rsidRDefault="00CC3DDE" w:rsidP="00CC3DDE">
      <w:pPr>
        <w:pStyle w:val="Nadpis4"/>
        <w:spacing w:before="0"/>
        <w:rPr>
          <w:sz w:val="24"/>
          <w:szCs w:val="24"/>
        </w:rPr>
      </w:pPr>
      <w:r w:rsidRPr="00BB6AFA">
        <w:rPr>
          <w:sz w:val="24"/>
          <w:szCs w:val="24"/>
        </w:rPr>
        <w:t>Členové:                            </w:t>
      </w:r>
    </w:p>
    <w:p w:rsidR="00CC3DDE" w:rsidRPr="00BB6AFA" w:rsidRDefault="00CC3DDE" w:rsidP="00CC3DDE">
      <w:pPr>
        <w:pStyle w:val="Normlnweb"/>
        <w:spacing w:before="0" w:beforeAutospacing="0" w:after="0" w:afterAutospacing="0" w:line="276" w:lineRule="auto"/>
        <w:rPr>
          <w:rFonts w:asciiTheme="majorHAnsi" w:hAnsiTheme="majorHAnsi"/>
        </w:rPr>
      </w:pPr>
      <w:r w:rsidRPr="00BB6AFA">
        <w:rPr>
          <w:rFonts w:asciiTheme="majorHAnsi" w:hAnsiTheme="majorHAnsi"/>
        </w:rPr>
        <w:t>Ing. Dana Balcarová                                     </w:t>
      </w:r>
    </w:p>
    <w:p w:rsidR="00CC3DDE" w:rsidRPr="00BB6AFA" w:rsidRDefault="00CC3DDE" w:rsidP="00CC3DDE">
      <w:pPr>
        <w:pStyle w:val="Normlnweb"/>
        <w:spacing w:before="0" w:beforeAutospacing="0" w:after="0" w:afterAutospacing="0" w:line="276" w:lineRule="auto"/>
        <w:rPr>
          <w:rFonts w:asciiTheme="majorHAnsi" w:hAnsiTheme="majorHAnsi"/>
        </w:rPr>
      </w:pPr>
      <w:r w:rsidRPr="00BB6AFA">
        <w:rPr>
          <w:rFonts w:asciiTheme="majorHAnsi" w:hAnsiTheme="majorHAnsi"/>
        </w:rPr>
        <w:t>Pavel Baudys                                   </w:t>
      </w:r>
    </w:p>
    <w:p w:rsidR="00CC3DDE" w:rsidRPr="00BB6AFA" w:rsidRDefault="00CC3DDE" w:rsidP="00CC3DDE">
      <w:pPr>
        <w:pStyle w:val="Normlnweb"/>
        <w:spacing w:before="0" w:beforeAutospacing="0" w:after="0" w:afterAutospacing="0" w:line="276" w:lineRule="auto"/>
        <w:rPr>
          <w:rFonts w:asciiTheme="majorHAnsi" w:hAnsiTheme="majorHAnsi"/>
        </w:rPr>
      </w:pPr>
      <w:r w:rsidRPr="00BB6AFA">
        <w:rPr>
          <w:rFonts w:asciiTheme="majorHAnsi" w:hAnsiTheme="majorHAnsi"/>
        </w:rPr>
        <w:t>Milan Tuček                                     </w:t>
      </w:r>
    </w:p>
    <w:p w:rsidR="00CC3DDE" w:rsidRPr="00BB6AFA" w:rsidRDefault="00CC3DDE" w:rsidP="00CC3DDE">
      <w:pPr>
        <w:pStyle w:val="Normlnweb"/>
        <w:spacing w:before="0" w:beforeAutospacing="0" w:after="0" w:afterAutospacing="0" w:line="276" w:lineRule="auto"/>
        <w:rPr>
          <w:rFonts w:asciiTheme="majorHAnsi" w:hAnsiTheme="majorHAnsi"/>
        </w:rPr>
      </w:pPr>
      <w:r w:rsidRPr="00BB6AFA">
        <w:rPr>
          <w:rFonts w:asciiTheme="majorHAnsi" w:hAnsiTheme="majorHAnsi"/>
        </w:rPr>
        <w:t>Ing. Zdeněk Davídek                                    </w:t>
      </w:r>
    </w:p>
    <w:p w:rsidR="00CC3DDE" w:rsidRPr="00BB6AFA" w:rsidRDefault="00CC3DDE" w:rsidP="00CC3DDE">
      <w:pPr>
        <w:pStyle w:val="Normlnweb"/>
        <w:spacing w:before="0" w:beforeAutospacing="0" w:after="0" w:afterAutospacing="0" w:line="276" w:lineRule="auto"/>
        <w:rPr>
          <w:rFonts w:asciiTheme="majorHAnsi" w:hAnsiTheme="majorHAnsi"/>
        </w:rPr>
      </w:pPr>
      <w:r w:rsidRPr="00BB6AFA">
        <w:rPr>
          <w:rFonts w:asciiTheme="majorHAnsi" w:hAnsiTheme="majorHAnsi"/>
        </w:rPr>
        <w:t>Zuzana Haberlová</w:t>
      </w:r>
    </w:p>
    <w:p w:rsidR="00CC3DDE" w:rsidRPr="00BB6AFA" w:rsidRDefault="00CC3DDE" w:rsidP="00CC3DDE">
      <w:pPr>
        <w:pStyle w:val="Normlnweb"/>
        <w:spacing w:before="0" w:beforeAutospacing="0" w:after="0" w:afterAutospacing="0" w:line="276" w:lineRule="auto"/>
        <w:rPr>
          <w:rFonts w:asciiTheme="majorHAnsi" w:hAnsiTheme="majorHAnsi"/>
        </w:rPr>
      </w:pPr>
      <w:r w:rsidRPr="00BB6AFA">
        <w:rPr>
          <w:rFonts w:asciiTheme="majorHAnsi" w:hAnsiTheme="majorHAnsi"/>
        </w:rPr>
        <w:t>Bc. Jan Váňa                                     </w:t>
      </w:r>
    </w:p>
    <w:p w:rsidR="00CC3DDE" w:rsidRPr="00BB6AFA" w:rsidRDefault="00CC3DDE" w:rsidP="00CC3DDE">
      <w:pPr>
        <w:pStyle w:val="Normlnweb"/>
        <w:spacing w:before="0" w:beforeAutospacing="0" w:after="0" w:afterAutospacing="0" w:line="276" w:lineRule="auto"/>
        <w:rPr>
          <w:rFonts w:asciiTheme="majorHAnsi" w:hAnsiTheme="majorHAnsi"/>
        </w:rPr>
      </w:pPr>
      <w:r w:rsidRPr="00BB6AFA">
        <w:rPr>
          <w:rFonts w:asciiTheme="majorHAnsi" w:hAnsiTheme="majorHAnsi"/>
        </w:rPr>
        <w:t>JUDr. Jan Dufek</w:t>
      </w:r>
    </w:p>
    <w:p w:rsidR="00BB6AFA" w:rsidRDefault="00BB6AFA" w:rsidP="00CC3DDE">
      <w:pPr>
        <w:pStyle w:val="Nadpis4"/>
        <w:spacing w:before="0"/>
        <w:rPr>
          <w:sz w:val="24"/>
          <w:szCs w:val="24"/>
        </w:rPr>
      </w:pPr>
    </w:p>
    <w:p w:rsidR="00CC3DDE" w:rsidRPr="00BB6AFA" w:rsidRDefault="00CC3DDE" w:rsidP="00CC3DDE">
      <w:pPr>
        <w:pStyle w:val="Nadpis4"/>
        <w:spacing w:before="0"/>
        <w:rPr>
          <w:sz w:val="24"/>
          <w:szCs w:val="24"/>
        </w:rPr>
      </w:pPr>
      <w:r w:rsidRPr="00BB6AFA">
        <w:rPr>
          <w:sz w:val="24"/>
          <w:szCs w:val="24"/>
        </w:rPr>
        <w:t>Tajemník:                          </w:t>
      </w:r>
    </w:p>
    <w:p w:rsidR="00CC3DDE" w:rsidRPr="00BB6AFA" w:rsidRDefault="00CC3DDE" w:rsidP="00CC3DDE">
      <w:pPr>
        <w:pStyle w:val="Normlnweb"/>
        <w:spacing w:before="0" w:beforeAutospacing="0" w:after="0" w:afterAutospacing="0" w:line="276" w:lineRule="auto"/>
        <w:rPr>
          <w:rFonts w:asciiTheme="majorHAnsi" w:hAnsiTheme="majorHAnsi"/>
        </w:rPr>
      </w:pPr>
      <w:r w:rsidRPr="00BB6AFA">
        <w:rPr>
          <w:rFonts w:asciiTheme="majorHAnsi" w:hAnsiTheme="majorHAnsi"/>
        </w:rPr>
        <w:t>Ing. Alexander Dellamária, Lukáš Horák</w:t>
      </w:r>
    </w:p>
    <w:p w:rsidR="00860332" w:rsidRDefault="00860332" w:rsidP="003E2C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E2C6C" w:rsidRDefault="003E2C6C" w:rsidP="003E2C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E2C6C" w:rsidRDefault="003E2C6C" w:rsidP="003E2C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E2C6C" w:rsidRDefault="003E2C6C" w:rsidP="003E2C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E2C6C" w:rsidRDefault="003E2C6C" w:rsidP="003E2C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E2C6C" w:rsidRDefault="003E2C6C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E2C6C" w:rsidRDefault="003E2C6C" w:rsidP="00594BD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3E2C6C" w:rsidSect="00436D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2F" w:rsidRDefault="00FF542F" w:rsidP="0041567A">
      <w:pPr>
        <w:spacing w:after="0" w:line="240" w:lineRule="auto"/>
      </w:pPr>
      <w:r>
        <w:separator/>
      </w:r>
    </w:p>
  </w:endnote>
  <w:endnote w:type="continuationSeparator" w:id="0">
    <w:p w:rsidR="00FF542F" w:rsidRDefault="00FF542F" w:rsidP="0041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6277"/>
      <w:docPartObj>
        <w:docPartGallery w:val="Page Numbers (Bottom of Page)"/>
        <w:docPartUnique/>
      </w:docPartObj>
    </w:sdtPr>
    <w:sdtEndPr/>
    <w:sdtContent>
      <w:p w:rsidR="00A3093A" w:rsidRDefault="00E7161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93A" w:rsidRDefault="00A30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2F" w:rsidRDefault="00FF542F" w:rsidP="0041567A">
      <w:pPr>
        <w:spacing w:after="0" w:line="240" w:lineRule="auto"/>
      </w:pPr>
      <w:r>
        <w:separator/>
      </w:r>
    </w:p>
  </w:footnote>
  <w:footnote w:type="continuationSeparator" w:id="0">
    <w:p w:rsidR="00FF542F" w:rsidRDefault="00FF542F" w:rsidP="00415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57pt" o:bullet="t">
        <v:imagedata r:id="rId1" o:title="logo"/>
      </v:shape>
    </w:pict>
  </w:numPicBullet>
  <w:abstractNum w:abstractNumId="0" w15:restartNumberingAfterBreak="0">
    <w:nsid w:val="FFFFFF89"/>
    <w:multiLevelType w:val="singleLevel"/>
    <w:tmpl w:val="1C58C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B1447"/>
    <w:multiLevelType w:val="hybridMultilevel"/>
    <w:tmpl w:val="E6C01A48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7D6AC1"/>
    <w:multiLevelType w:val="hybridMultilevel"/>
    <w:tmpl w:val="A85C7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76F48"/>
    <w:multiLevelType w:val="hybridMultilevel"/>
    <w:tmpl w:val="CF603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0DBF"/>
    <w:multiLevelType w:val="hybridMultilevel"/>
    <w:tmpl w:val="0944C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265"/>
    <w:multiLevelType w:val="multilevel"/>
    <w:tmpl w:val="53F65D2A"/>
    <w:lvl w:ilvl="0">
      <w:start w:val="1"/>
      <w:numFmt w:val="decimal"/>
      <w:pStyle w:val="StylNadpis1ZarovnatdoblokuVlevo0cmPedsazen07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dpis2ZarovnatdoblokuVlevo0cmPedsazen1021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pStyle w:val="StylNadpis3ZarovnatdoblokuVlevo0cmPedsazen127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9D859AB"/>
    <w:multiLevelType w:val="hybridMultilevel"/>
    <w:tmpl w:val="FE56EE5A"/>
    <w:lvl w:ilvl="0" w:tplc="FFFFFFFF">
      <w:start w:val="1"/>
      <w:numFmt w:val="bullet"/>
      <w:pStyle w:val="Seznamsodrkami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B8"/>
    <w:rsid w:val="000252F7"/>
    <w:rsid w:val="00096339"/>
    <w:rsid w:val="000E733A"/>
    <w:rsid w:val="00134448"/>
    <w:rsid w:val="001567E2"/>
    <w:rsid w:val="00172A4D"/>
    <w:rsid w:val="001C63D2"/>
    <w:rsid w:val="00217B21"/>
    <w:rsid w:val="0025087F"/>
    <w:rsid w:val="00257A53"/>
    <w:rsid w:val="00340112"/>
    <w:rsid w:val="0039473D"/>
    <w:rsid w:val="003B0CFF"/>
    <w:rsid w:val="003E2C6C"/>
    <w:rsid w:val="0041567A"/>
    <w:rsid w:val="00436DEB"/>
    <w:rsid w:val="00501708"/>
    <w:rsid w:val="005474B8"/>
    <w:rsid w:val="00590732"/>
    <w:rsid w:val="00594BDD"/>
    <w:rsid w:val="005D2F14"/>
    <w:rsid w:val="005F0C2F"/>
    <w:rsid w:val="005F1809"/>
    <w:rsid w:val="00604A9F"/>
    <w:rsid w:val="00617309"/>
    <w:rsid w:val="00655988"/>
    <w:rsid w:val="006A33BF"/>
    <w:rsid w:val="00714321"/>
    <w:rsid w:val="00725307"/>
    <w:rsid w:val="00776666"/>
    <w:rsid w:val="007D2022"/>
    <w:rsid w:val="00843C24"/>
    <w:rsid w:val="00860332"/>
    <w:rsid w:val="008612D3"/>
    <w:rsid w:val="00914DCB"/>
    <w:rsid w:val="00961CE8"/>
    <w:rsid w:val="009A5962"/>
    <w:rsid w:val="009D29F8"/>
    <w:rsid w:val="00A21A25"/>
    <w:rsid w:val="00A3093A"/>
    <w:rsid w:val="00A319EC"/>
    <w:rsid w:val="00A42921"/>
    <w:rsid w:val="00A52A99"/>
    <w:rsid w:val="00A8257E"/>
    <w:rsid w:val="00AB7B0B"/>
    <w:rsid w:val="00AD398A"/>
    <w:rsid w:val="00B14E3B"/>
    <w:rsid w:val="00B347E6"/>
    <w:rsid w:val="00B978B2"/>
    <w:rsid w:val="00BB6AFA"/>
    <w:rsid w:val="00BB72E7"/>
    <w:rsid w:val="00BC4EC4"/>
    <w:rsid w:val="00C23CD5"/>
    <w:rsid w:val="00C357BB"/>
    <w:rsid w:val="00C65105"/>
    <w:rsid w:val="00CC3DDE"/>
    <w:rsid w:val="00D37C83"/>
    <w:rsid w:val="00DB7C3D"/>
    <w:rsid w:val="00E004DE"/>
    <w:rsid w:val="00E212C9"/>
    <w:rsid w:val="00E71614"/>
    <w:rsid w:val="00EA4B22"/>
    <w:rsid w:val="00EC385C"/>
    <w:rsid w:val="00FB246F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E527DE-68A3-4ED3-B300-2DC4C5F7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DEB"/>
  </w:style>
  <w:style w:type="paragraph" w:styleId="Nadpis1">
    <w:name w:val="heading 1"/>
    <w:basedOn w:val="Normln"/>
    <w:next w:val="Normln"/>
    <w:link w:val="Nadpis1Char"/>
    <w:uiPriority w:val="9"/>
    <w:qFormat/>
    <w:rsid w:val="00547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7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66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7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7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14DCB"/>
    <w:pPr>
      <w:ind w:left="720"/>
      <w:contextualSpacing/>
    </w:pPr>
  </w:style>
  <w:style w:type="paragraph" w:styleId="Seznamsodrkami">
    <w:name w:val="List Bullet"/>
    <w:basedOn w:val="Normln"/>
    <w:rsid w:val="00AD398A"/>
    <w:pPr>
      <w:numPr>
        <w:numId w:val="3"/>
      </w:numPr>
      <w:spacing w:before="40"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41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567A"/>
  </w:style>
  <w:style w:type="paragraph" w:styleId="Zpat">
    <w:name w:val="footer"/>
    <w:basedOn w:val="Normln"/>
    <w:link w:val="ZpatChar"/>
    <w:uiPriority w:val="99"/>
    <w:unhideWhenUsed/>
    <w:rsid w:val="00415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67A"/>
  </w:style>
  <w:style w:type="paragraph" w:customStyle="1" w:styleId="StylNadpis2ZarovnatdoblokuVlevo0cmPedsazen1021">
    <w:name w:val="Styl Nadpis 2 + Zarovnat do bloku Vlevo:  0 cm Předsazení:  102...1"/>
    <w:basedOn w:val="Nadpis2"/>
    <w:rsid w:val="00AB7B0B"/>
    <w:pPr>
      <w:keepLines w:val="0"/>
      <w:numPr>
        <w:ilvl w:val="1"/>
        <w:numId w:val="4"/>
      </w:numPr>
      <w:spacing w:before="120" w:after="60" w:line="288" w:lineRule="auto"/>
    </w:pPr>
    <w:rPr>
      <w:rFonts w:ascii="Arial" w:eastAsia="Times New Roman" w:hAnsi="Arial" w:cs="Times New Roman"/>
      <w:i/>
      <w:iCs/>
      <w:color w:val="800000"/>
      <w:sz w:val="28"/>
      <w:szCs w:val="20"/>
    </w:rPr>
  </w:style>
  <w:style w:type="paragraph" w:customStyle="1" w:styleId="StylNadpis1ZarovnatdoblokuVlevo0cmPedsazen076">
    <w:name w:val="Styl Nadpis 1 + Zarovnat do bloku Vlevo:  0 cm Předsazení:  076..."/>
    <w:basedOn w:val="Nadpis1"/>
    <w:rsid w:val="00AB7B0B"/>
    <w:pPr>
      <w:keepLines w:val="0"/>
      <w:numPr>
        <w:numId w:val="4"/>
      </w:numPr>
      <w:suppressAutoHyphens/>
      <w:spacing w:before="240" w:after="60" w:line="288" w:lineRule="auto"/>
    </w:pPr>
    <w:rPr>
      <w:rFonts w:ascii="Arial" w:eastAsia="Times New Roman" w:hAnsi="Arial" w:cs="Times New Roman"/>
      <w:color w:val="FF6919"/>
      <w:kern w:val="28"/>
      <w:sz w:val="32"/>
      <w:szCs w:val="20"/>
      <w:lang w:eastAsia="ar-SA"/>
    </w:rPr>
  </w:style>
  <w:style w:type="paragraph" w:customStyle="1" w:styleId="StylNadpis3ZarovnatdoblokuVlevo0cmPedsazen127">
    <w:name w:val="Styl Nadpis 3 + Zarovnat do bloku Vlevo:  0 cm Předsazení:  127..."/>
    <w:basedOn w:val="Nadpis3"/>
    <w:rsid w:val="00AB7B0B"/>
    <w:pPr>
      <w:keepLines w:val="0"/>
      <w:numPr>
        <w:ilvl w:val="2"/>
        <w:numId w:val="4"/>
      </w:numPr>
      <w:spacing w:before="120" w:after="60" w:line="288" w:lineRule="auto"/>
      <w:jc w:val="both"/>
    </w:pPr>
    <w:rPr>
      <w:rFonts w:ascii="Arial" w:eastAsia="Times New Roman" w:hAnsi="Arial" w:cs="Times New Roman"/>
      <w:b w:val="0"/>
      <w:bCs w:val="0"/>
      <w:color w:val="CC6600"/>
      <w:sz w:val="28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BC4EC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B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52A99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766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776666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0732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A42921"/>
    <w:pPr>
      <w:tabs>
        <w:tab w:val="right" w:leader="dot" w:pos="9062"/>
      </w:tabs>
      <w:spacing w:after="100"/>
    </w:pPr>
    <w:rPr>
      <w:rFonts w:cs="Arial"/>
      <w:b/>
      <w:noProof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59073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90732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.cz/t/pprch/poskytovate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4D7CF-8AA1-4B40-8C88-D5EEA113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179517C6</Template>
  <TotalTime>0</TotalTime>
  <Pages>12</Pages>
  <Words>2479</Words>
  <Characters>14630</Characters>
  <Application>Microsoft Office Word</Application>
  <DocSecurity>4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Dobišová Zemanová Jana, Mgr.(ÚMČP.9)</cp:lastModifiedBy>
  <cp:revision>2</cp:revision>
  <cp:lastPrinted>2016-11-25T13:44:00Z</cp:lastPrinted>
  <dcterms:created xsi:type="dcterms:W3CDTF">2017-04-27T07:52:00Z</dcterms:created>
  <dcterms:modified xsi:type="dcterms:W3CDTF">2017-04-27T07:52:00Z</dcterms:modified>
</cp:coreProperties>
</file>